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a"/>
        <w:bidiVisual/>
        <w:tblW w:w="90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28"/>
        <w:gridCol w:w="2475"/>
        <w:gridCol w:w="5317"/>
        <w:gridCol w:w="216"/>
      </w:tblGrid>
      <w:tr w:rsidR="0094424E" w:rsidTr="00BF1ECB">
        <w:trPr>
          <w:jc w:val="center"/>
        </w:trPr>
        <w:tc>
          <w:tcPr>
            <w:tcW w:w="1028" w:type="dxa"/>
          </w:tcPr>
          <w:p w:rsidR="0094424E" w:rsidRDefault="0094424E" w:rsidP="00D44968">
            <w:pPr>
              <w:suppressLineNumbers/>
              <w:jc w:val="both"/>
              <w:rPr>
                <w:rFonts w:ascii="Arial" w:hAnsi="Arial"/>
                <w:b/>
                <w:bCs/>
                <w:rtl/>
              </w:rPr>
            </w:pPr>
          </w:p>
        </w:tc>
        <w:tc>
          <w:tcPr>
            <w:tcW w:w="8008" w:type="dxa"/>
            <w:gridSpan w:val="3"/>
          </w:tcPr>
          <w:p w:rsidR="0094424E" w:rsidRDefault="0094424E" w:rsidP="00D44968">
            <w:pPr>
              <w:suppressLineNumbers/>
              <w:rPr>
                <w:rFonts w:ascii="Arial" w:hAnsi="Arial" w:cs="FrankRuehl"/>
                <w:sz w:val="28"/>
                <w:szCs w:val="28"/>
                <w:highlight w:val="yellow"/>
              </w:rPr>
            </w:pPr>
          </w:p>
        </w:tc>
      </w:tr>
      <w:tr w:rsidR="0094424E" w:rsidTr="00BF1ECB">
        <w:trPr>
          <w:jc w:val="center"/>
        </w:trPr>
        <w:tc>
          <w:tcPr>
            <w:tcW w:w="3503" w:type="dxa"/>
            <w:gridSpan w:val="2"/>
          </w:tcPr>
          <w:p w:rsidR="00A85F6E" w:rsidRDefault="00A85F6E">
            <w:pPr>
              <w:suppressLineNumbers/>
              <w:rPr>
                <w:rFonts w:ascii="Arial" w:hAnsi="Arial"/>
                <w:b/>
                <w:bCs/>
                <w:noProof w:val="0"/>
                <w:sz w:val="26"/>
                <w:szCs w:val="26"/>
                <w:rtl/>
              </w:rPr>
            </w:pPr>
          </w:p>
        </w:tc>
        <w:tc>
          <w:tcPr>
            <w:tcW w:w="5533" w:type="dxa"/>
            <w:gridSpan w:val="2"/>
          </w:tcPr>
          <w:p w:rsidR="00570505" w:rsidRDefault="00570505" w:rsidP="00897DAF">
            <w:pPr>
              <w:suppressLineNumbers/>
              <w:rPr>
                <w:b/>
                <w:bCs/>
                <w:noProof w:val="0"/>
                <w:sz w:val="26"/>
                <w:szCs w:val="26"/>
              </w:rPr>
            </w:pPr>
          </w:p>
        </w:tc>
      </w:tr>
      <w:tr w:rsidR="0094424E" w:rsidTr="00BF1ECB">
        <w:trPr>
          <w:jc w:val="center"/>
        </w:trPr>
        <w:tc>
          <w:tcPr>
            <w:tcW w:w="9036" w:type="dxa"/>
            <w:gridSpan w:val="4"/>
          </w:tcPr>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BF1ECB" w:rsidTr="00BF1ECB">
              <w:trPr>
                <w:jc w:val="center"/>
              </w:trPr>
              <w:tc>
                <w:tcPr>
                  <w:tcW w:w="743" w:type="dxa"/>
                  <w:hideMark/>
                </w:tcPr>
                <w:p w:rsidR="00BF1ECB" w:rsidRDefault="00BF1ECB" w:rsidP="00BF1ECB">
                  <w:pPr>
                    <w:suppressLineNumbers/>
                    <w:jc w:val="both"/>
                    <w:rPr>
                      <w:rFonts w:ascii="Arial" w:hAnsi="Arial"/>
                      <w:b/>
                      <w:bCs/>
                    </w:rPr>
                  </w:pPr>
                  <w:r>
                    <w:rPr>
                      <w:rFonts w:ascii="Arial" w:hAnsi="Arial"/>
                      <w:b/>
                      <w:bCs/>
                      <w:rtl/>
                    </w:rPr>
                    <w:t xml:space="preserve">בפני </w:t>
                  </w:r>
                </w:p>
              </w:tc>
              <w:tc>
                <w:tcPr>
                  <w:tcW w:w="8077" w:type="dxa"/>
                  <w:gridSpan w:val="2"/>
                </w:tcPr>
                <w:p w:rsidR="00BF1ECB" w:rsidRDefault="00BF1ECB" w:rsidP="00BF1ECB">
                  <w:pPr>
                    <w:suppressLineNumbers/>
                    <w:rPr>
                      <w:rFonts w:ascii="Arial" w:hAnsi="Arial"/>
                      <w:b/>
                      <w:bCs/>
                      <w:rtl/>
                    </w:rPr>
                  </w:pPr>
                  <w:r>
                    <w:rPr>
                      <w:rFonts w:ascii="Arial" w:hAnsi="Arial"/>
                      <w:b/>
                      <w:bCs/>
                      <w:rtl/>
                    </w:rPr>
                    <w:t>כבוד השופטת, סגנית הנשיא  רותם קודלר עיאש</w:t>
                  </w:r>
                </w:p>
                <w:p w:rsidR="00BF1ECB" w:rsidRDefault="00BF1ECB" w:rsidP="00BF1ECB">
                  <w:pPr>
                    <w:suppressLineNumbers/>
                    <w:rPr>
                      <w:rFonts w:ascii="Arial" w:hAnsi="Arial" w:cs="FrankRuehl"/>
                      <w:sz w:val="28"/>
                      <w:szCs w:val="28"/>
                      <w:highlight w:val="yellow"/>
                      <w:rtl/>
                    </w:rPr>
                  </w:pPr>
                </w:p>
              </w:tc>
            </w:tr>
            <w:tr w:rsidR="00BF1ECB" w:rsidTr="00BF1ECB">
              <w:trPr>
                <w:jc w:val="center"/>
              </w:trPr>
              <w:tc>
                <w:tcPr>
                  <w:tcW w:w="3249" w:type="dxa"/>
                  <w:gridSpan w:val="2"/>
                  <w:hideMark/>
                </w:tcPr>
                <w:p w:rsidR="00BF1ECB" w:rsidRDefault="00BF1ECB" w:rsidP="00BF1ECB">
                  <w:pPr>
                    <w:suppressLineNumbers/>
                    <w:rPr>
                      <w:rFonts w:ascii="Arial" w:hAnsi="Arial"/>
                      <w:b/>
                      <w:bCs/>
                      <w:noProof w:val="0"/>
                      <w:sz w:val="26"/>
                      <w:szCs w:val="26"/>
                    </w:rPr>
                  </w:pPr>
                  <w:r>
                    <w:rPr>
                      <w:rFonts w:ascii="Arial" w:hAnsi="Arial"/>
                      <w:b/>
                      <w:bCs/>
                      <w:noProof w:val="0"/>
                      <w:sz w:val="26"/>
                      <w:szCs w:val="26"/>
                      <w:rtl/>
                    </w:rPr>
                    <w:t>מבקשת</w:t>
                  </w:r>
                </w:p>
              </w:tc>
              <w:tc>
                <w:tcPr>
                  <w:tcW w:w="5571" w:type="dxa"/>
                </w:tcPr>
                <w:p w:rsidR="00BF1ECB" w:rsidRDefault="00BF1ECB" w:rsidP="00BF1ECB">
                  <w:pPr>
                    <w:suppressLineNumbers/>
                    <w:rPr>
                      <w:rFonts w:ascii="Arial" w:hAnsi="Arial"/>
                      <w:b/>
                      <w:bCs/>
                      <w:noProof w:val="0"/>
                      <w:sz w:val="26"/>
                      <w:szCs w:val="26"/>
                      <w:rtl/>
                    </w:rPr>
                  </w:pPr>
                  <w:r>
                    <w:rPr>
                      <w:rFonts w:ascii="Arial" w:hAnsi="Arial"/>
                      <w:b/>
                      <w:bCs/>
                      <w:noProof w:val="0"/>
                      <w:sz w:val="26"/>
                      <w:szCs w:val="26"/>
                      <w:rtl/>
                    </w:rPr>
                    <w:t xml:space="preserve">פלונית </w:t>
                  </w:r>
                </w:p>
                <w:p w:rsidR="00BF1ECB" w:rsidRDefault="00BF1ECB" w:rsidP="00BF1ECB">
                  <w:pPr>
                    <w:suppressLineNumbers/>
                    <w:rPr>
                      <w:rFonts w:ascii="Arial" w:hAnsi="Arial"/>
                      <w:b/>
                      <w:bCs/>
                      <w:noProof w:val="0"/>
                      <w:sz w:val="26"/>
                      <w:szCs w:val="26"/>
                      <w:rtl/>
                    </w:rPr>
                  </w:pPr>
                  <w:r>
                    <w:rPr>
                      <w:rFonts w:ascii="Arial" w:hAnsi="Arial"/>
                      <w:b/>
                      <w:bCs/>
                      <w:noProof w:val="0"/>
                      <w:sz w:val="26"/>
                      <w:szCs w:val="26"/>
                      <w:rtl/>
                    </w:rPr>
                    <w:t>באמצעות עו"ד קלריס דביר</w:t>
                  </w:r>
                </w:p>
                <w:p w:rsidR="00BF1ECB" w:rsidRDefault="00BF1ECB" w:rsidP="00BF1ECB">
                  <w:pPr>
                    <w:suppressLineNumbers/>
                    <w:rPr>
                      <w:b/>
                      <w:bCs/>
                      <w:noProof w:val="0"/>
                      <w:sz w:val="26"/>
                      <w:szCs w:val="26"/>
                      <w:rtl/>
                    </w:rPr>
                  </w:pPr>
                </w:p>
              </w:tc>
            </w:tr>
            <w:tr w:rsidR="00BF1ECB" w:rsidTr="00BF1ECB">
              <w:trPr>
                <w:jc w:val="center"/>
              </w:trPr>
              <w:tc>
                <w:tcPr>
                  <w:tcW w:w="8820" w:type="dxa"/>
                  <w:gridSpan w:val="3"/>
                </w:tcPr>
                <w:p w:rsidR="00BF1ECB" w:rsidRDefault="00BF1ECB" w:rsidP="00BF1ECB">
                  <w:pPr>
                    <w:suppressLineNumbers/>
                    <w:rPr>
                      <w:rFonts w:ascii="Arial" w:hAnsi="Arial"/>
                      <w:b/>
                      <w:bCs/>
                      <w:noProof w:val="0"/>
                      <w:sz w:val="26"/>
                      <w:szCs w:val="26"/>
                    </w:rPr>
                  </w:pPr>
                </w:p>
                <w:p w:rsidR="00BF1ECB" w:rsidRDefault="00BF1ECB" w:rsidP="00BF1ECB">
                  <w:pPr>
                    <w:suppressLineNumbers/>
                    <w:jc w:val="center"/>
                    <w:rPr>
                      <w:rFonts w:ascii="Arial" w:hAnsi="Arial"/>
                      <w:b/>
                      <w:bCs/>
                      <w:noProof w:val="0"/>
                      <w:sz w:val="26"/>
                      <w:szCs w:val="26"/>
                      <w:rtl/>
                    </w:rPr>
                  </w:pPr>
                  <w:r>
                    <w:rPr>
                      <w:rFonts w:ascii="Arial" w:hAnsi="Arial"/>
                      <w:b/>
                      <w:bCs/>
                      <w:noProof w:val="0"/>
                      <w:sz w:val="26"/>
                      <w:szCs w:val="26"/>
                      <w:rtl/>
                    </w:rPr>
                    <w:t>נגד</w:t>
                  </w:r>
                </w:p>
                <w:p w:rsidR="00BF1ECB" w:rsidRDefault="00BF1ECB" w:rsidP="00BF1ECB">
                  <w:pPr>
                    <w:suppressLineNumbers/>
                    <w:rPr>
                      <w:rFonts w:ascii="Arial" w:hAnsi="Arial"/>
                      <w:b/>
                      <w:bCs/>
                      <w:noProof w:val="0"/>
                      <w:sz w:val="26"/>
                      <w:szCs w:val="26"/>
                      <w:rtl/>
                    </w:rPr>
                  </w:pPr>
                </w:p>
              </w:tc>
            </w:tr>
            <w:tr w:rsidR="00BF1ECB" w:rsidTr="00BF1ECB">
              <w:trPr>
                <w:jc w:val="center"/>
              </w:trPr>
              <w:tc>
                <w:tcPr>
                  <w:tcW w:w="3249" w:type="dxa"/>
                  <w:gridSpan w:val="2"/>
                  <w:hideMark/>
                </w:tcPr>
                <w:p w:rsidR="00BF1ECB" w:rsidRDefault="00BF1ECB" w:rsidP="00BF1ECB">
                  <w:pPr>
                    <w:suppressLineNumbers/>
                    <w:rPr>
                      <w:rFonts w:ascii="Arial" w:hAnsi="Arial"/>
                      <w:b/>
                      <w:bCs/>
                      <w:noProof w:val="0"/>
                      <w:sz w:val="26"/>
                      <w:szCs w:val="26"/>
                    </w:rPr>
                  </w:pPr>
                  <w:r>
                    <w:rPr>
                      <w:rFonts w:ascii="Arial" w:hAnsi="Arial"/>
                      <w:b/>
                      <w:bCs/>
                      <w:noProof w:val="0"/>
                      <w:sz w:val="26"/>
                      <w:szCs w:val="26"/>
                      <w:rtl/>
                    </w:rPr>
                    <w:t>משיבים</w:t>
                  </w:r>
                </w:p>
              </w:tc>
              <w:tc>
                <w:tcPr>
                  <w:tcW w:w="5571" w:type="dxa"/>
                </w:tcPr>
                <w:p w:rsidR="00BF1ECB" w:rsidRPr="00BF1ECB" w:rsidRDefault="00BF1ECB" w:rsidP="00BF1ECB">
                  <w:pPr>
                    <w:pStyle w:val="ae"/>
                    <w:numPr>
                      <w:ilvl w:val="0"/>
                      <w:numId w:val="2"/>
                    </w:numPr>
                    <w:suppressLineNumbers/>
                    <w:rPr>
                      <w:rFonts w:ascii="Arial" w:hAnsi="Arial"/>
                      <w:b/>
                      <w:bCs/>
                      <w:noProof w:val="0"/>
                      <w:sz w:val="26"/>
                      <w:szCs w:val="26"/>
                      <w:rtl/>
                    </w:rPr>
                  </w:pPr>
                  <w:r w:rsidRPr="00BF1ECB">
                    <w:rPr>
                      <w:rFonts w:ascii="Arial" w:hAnsi="Arial" w:hint="cs"/>
                      <w:b/>
                      <w:bCs/>
                      <w:noProof w:val="0"/>
                      <w:sz w:val="26"/>
                      <w:szCs w:val="26"/>
                      <w:rtl/>
                    </w:rPr>
                    <w:t>אלמונית</w:t>
                  </w:r>
                </w:p>
                <w:p w:rsidR="00BF1ECB" w:rsidRPr="00BF1ECB" w:rsidRDefault="00BF1ECB" w:rsidP="00BF1ECB">
                  <w:pPr>
                    <w:pStyle w:val="ae"/>
                    <w:numPr>
                      <w:ilvl w:val="0"/>
                      <w:numId w:val="2"/>
                    </w:numPr>
                    <w:suppressLineNumbers/>
                    <w:rPr>
                      <w:b/>
                      <w:bCs/>
                      <w:noProof w:val="0"/>
                      <w:sz w:val="26"/>
                      <w:szCs w:val="26"/>
                      <w:rtl/>
                    </w:rPr>
                  </w:pPr>
                  <w:r>
                    <w:rPr>
                      <w:rFonts w:hint="cs"/>
                      <w:b/>
                      <w:bCs/>
                      <w:noProof w:val="0"/>
                      <w:sz w:val="26"/>
                      <w:szCs w:val="26"/>
                      <w:rtl/>
                    </w:rPr>
                    <w:t>אלמוני</w:t>
                  </w:r>
                </w:p>
                <w:p w:rsidR="00BF1ECB" w:rsidRDefault="00BF1ECB" w:rsidP="00BF1ECB">
                  <w:pPr>
                    <w:suppressLineNumbers/>
                    <w:rPr>
                      <w:b/>
                      <w:bCs/>
                      <w:noProof w:val="0"/>
                      <w:sz w:val="26"/>
                      <w:szCs w:val="26"/>
                      <w:rtl/>
                    </w:rPr>
                  </w:pPr>
                  <w:r>
                    <w:rPr>
                      <w:b/>
                      <w:bCs/>
                      <w:noProof w:val="0"/>
                      <w:sz w:val="26"/>
                      <w:szCs w:val="26"/>
                      <w:rtl/>
                    </w:rPr>
                    <w:t xml:space="preserve">     שניהם באמצעות עו"ד ספיר בן אליהו</w:t>
                  </w:r>
                </w:p>
                <w:p w:rsidR="00BF1ECB" w:rsidRDefault="00BF1ECB" w:rsidP="00BF1ECB">
                  <w:pPr>
                    <w:suppressLineNumbers/>
                    <w:rPr>
                      <w:b/>
                      <w:bCs/>
                      <w:noProof w:val="0"/>
                      <w:sz w:val="26"/>
                      <w:szCs w:val="26"/>
                      <w:rtl/>
                    </w:rPr>
                  </w:pPr>
                </w:p>
                <w:p w:rsidR="00BF1ECB" w:rsidRDefault="00BF1ECB" w:rsidP="00BF1ECB">
                  <w:pPr>
                    <w:suppressLineNumbers/>
                    <w:rPr>
                      <w:rFonts w:ascii="Arial" w:hAnsi="Arial"/>
                      <w:b/>
                      <w:bCs/>
                      <w:noProof w:val="0"/>
                      <w:sz w:val="26"/>
                      <w:szCs w:val="26"/>
                      <w:rtl/>
                    </w:rPr>
                  </w:pPr>
                  <w:r>
                    <w:rPr>
                      <w:rFonts w:ascii="Arial" w:hAnsi="Arial"/>
                      <w:b/>
                      <w:bCs/>
                      <w:noProof w:val="0"/>
                      <w:sz w:val="26"/>
                      <w:szCs w:val="26"/>
                      <w:rtl/>
                    </w:rPr>
                    <w:t xml:space="preserve">3. </w:t>
                  </w:r>
                  <w:r>
                    <w:rPr>
                      <w:rFonts w:ascii="Arial" w:hAnsi="Arial" w:hint="cs"/>
                      <w:b/>
                      <w:bCs/>
                      <w:noProof w:val="0"/>
                      <w:sz w:val="26"/>
                      <w:szCs w:val="26"/>
                      <w:rtl/>
                    </w:rPr>
                    <w:t>פלוני</w:t>
                  </w:r>
                </w:p>
                <w:p w:rsidR="00BF1ECB" w:rsidRDefault="00BF1ECB" w:rsidP="00BF1ECB">
                  <w:pPr>
                    <w:suppressLineNumbers/>
                    <w:rPr>
                      <w:rFonts w:ascii="Arial" w:hAnsi="Arial"/>
                      <w:b/>
                      <w:bCs/>
                      <w:noProof w:val="0"/>
                      <w:sz w:val="26"/>
                      <w:szCs w:val="26"/>
                      <w:rtl/>
                    </w:rPr>
                  </w:pPr>
                </w:p>
                <w:p w:rsidR="00BF1ECB" w:rsidRDefault="00BF1ECB" w:rsidP="00BF1ECB">
                  <w:pPr>
                    <w:suppressLineNumbers/>
                    <w:rPr>
                      <w:rFonts w:ascii="Arial" w:hAnsi="Arial"/>
                      <w:b/>
                      <w:bCs/>
                      <w:noProof w:val="0"/>
                      <w:sz w:val="26"/>
                      <w:szCs w:val="26"/>
                      <w:rtl/>
                    </w:rPr>
                  </w:pPr>
                  <w:r>
                    <w:rPr>
                      <w:rFonts w:ascii="Arial" w:hAnsi="Arial"/>
                      <w:b/>
                      <w:bCs/>
                      <w:noProof w:val="0"/>
                      <w:sz w:val="26"/>
                      <w:szCs w:val="26"/>
                      <w:rtl/>
                    </w:rPr>
                    <w:t>4. משרד הרווחה – לשכה משפטית דרום</w:t>
                  </w:r>
                  <w:r>
                    <w:rPr>
                      <w:rtl/>
                    </w:rPr>
                    <w:t xml:space="preserve"> </w:t>
                  </w:r>
                </w:p>
              </w:tc>
            </w:tr>
          </w:tbl>
          <w:p w:rsidR="0094424E" w:rsidRPr="00BF1ECB" w:rsidRDefault="0094424E" w:rsidP="00D44968">
            <w:pPr>
              <w:suppressLineNumbers/>
              <w:rPr>
                <w:rFonts w:ascii="Arial" w:hAnsi="Arial"/>
                <w:b/>
                <w:bCs/>
                <w:noProof w:val="0"/>
                <w:sz w:val="26"/>
                <w:szCs w:val="26"/>
              </w:rPr>
            </w:pPr>
          </w:p>
        </w:tc>
      </w:tr>
      <w:tr w:rsidR="0094424E" w:rsidTr="00BF1ECB">
        <w:trPr>
          <w:jc w:val="center"/>
        </w:trPr>
        <w:tc>
          <w:tcPr>
            <w:tcW w:w="3503" w:type="dxa"/>
            <w:gridSpan w:val="2"/>
          </w:tcPr>
          <w:p w:rsidR="0094424E" w:rsidRPr="00A43E0E" w:rsidRDefault="0094424E" w:rsidP="00D44968">
            <w:pPr>
              <w:suppressLineNumbers/>
              <w:rPr>
                <w:rFonts w:ascii="Arial" w:hAnsi="Arial"/>
                <w:b/>
                <w:bCs/>
                <w:noProof w:val="0"/>
                <w:sz w:val="26"/>
                <w:szCs w:val="26"/>
              </w:rPr>
            </w:pPr>
          </w:p>
        </w:tc>
        <w:tc>
          <w:tcPr>
            <w:tcW w:w="5533" w:type="dxa"/>
            <w:gridSpan w:val="2"/>
          </w:tcPr>
          <w:p w:rsidR="00CF6BB7" w:rsidRPr="00A43E0E" w:rsidRDefault="00CF6BB7" w:rsidP="00D44968">
            <w:pPr>
              <w:suppressLineNumbers/>
              <w:rPr>
                <w:b/>
                <w:bCs/>
                <w:noProof w:val="0"/>
                <w:sz w:val="26"/>
                <w:szCs w:val="26"/>
                <w:rtl/>
              </w:rPr>
            </w:pPr>
          </w:p>
        </w:tc>
      </w:tr>
      <w:tr w:rsidR="00AB1DDD" w:rsidTr="00BF1ECB">
        <w:trPr>
          <w:jc w:val="center"/>
        </w:trPr>
        <w:tc>
          <w:tcPr>
            <w:tcW w:w="9036" w:type="dxa"/>
            <w:gridSpan w:val="4"/>
          </w:tcPr>
          <w:p w:rsidR="00AB1DDD" w:rsidRPr="007F4CEC" w:rsidRDefault="00AB1DDD" w:rsidP="00AB1DDD">
            <w:pPr>
              <w:suppressLineNumbers/>
            </w:pPr>
          </w:p>
        </w:tc>
      </w:tr>
      <w:tr w:rsidR="004C17EE" w:rsidRPr="00AB1DDD" w:rsidTr="00BF1ECB">
        <w:trPr>
          <w:jc w:val="center"/>
        </w:trPr>
        <w:tc>
          <w:tcPr>
            <w:tcW w:w="9036" w:type="dxa"/>
            <w:gridSpan w:val="4"/>
          </w:tcPr>
          <w:p w:rsidR="00A85F6E" w:rsidRPr="00AB1DDD" w:rsidRDefault="00A85F6E" w:rsidP="00570505">
            <w:pPr>
              <w:suppressLineNumbers/>
              <w:tabs>
                <w:tab w:val="left" w:pos="1701"/>
              </w:tabs>
              <w:ind w:left="720" w:firstLine="720"/>
              <w:rPr>
                <w:rFonts w:ascii="Arial" w:hAnsi="Arial"/>
                <w:b/>
                <w:bCs/>
                <w:noProof w:val="0"/>
                <w:sz w:val="26"/>
                <w:szCs w:val="26"/>
                <w:rtl/>
              </w:rPr>
            </w:pPr>
          </w:p>
        </w:tc>
      </w:tr>
      <w:tr w:rsidR="00BF1ECB" w:rsidTr="00BF1ECB">
        <w:trPr>
          <w:gridAfter w:val="1"/>
          <w:wAfter w:w="216" w:type="dxa"/>
          <w:jc w:val="center"/>
        </w:trPr>
        <w:tc>
          <w:tcPr>
            <w:tcW w:w="8820" w:type="dxa"/>
            <w:gridSpan w:val="3"/>
          </w:tcPr>
          <w:p w:rsidR="00BF1ECB" w:rsidRDefault="00BF1ECB">
            <w:pPr>
              <w:bidi w:val="0"/>
              <w:jc w:val="center"/>
              <w:rPr>
                <w:rFonts w:ascii="Arial" w:hAnsi="Arial"/>
                <w:b/>
                <w:bCs/>
                <w:noProof w:val="0"/>
                <w:sz w:val="28"/>
                <w:szCs w:val="28"/>
                <w:u w:val="single"/>
              </w:rPr>
            </w:pPr>
            <w:r>
              <w:rPr>
                <w:rFonts w:ascii="Arial" w:hAnsi="Arial"/>
                <w:b/>
                <w:bCs/>
                <w:noProof w:val="0"/>
                <w:sz w:val="28"/>
                <w:szCs w:val="28"/>
                <w:u w:val="single"/>
                <w:rtl/>
              </w:rPr>
              <w:t>החלטה</w:t>
            </w:r>
          </w:p>
          <w:p w:rsidR="00BF1ECB" w:rsidRDefault="00BF1ECB">
            <w:pPr>
              <w:bidi w:val="0"/>
              <w:jc w:val="center"/>
              <w:rPr>
                <w:rFonts w:ascii="Arial" w:hAnsi="Arial"/>
                <w:b/>
                <w:bCs/>
                <w:noProof w:val="0"/>
                <w:sz w:val="28"/>
                <w:szCs w:val="28"/>
                <w:u w:val="single"/>
                <w:rtl/>
              </w:rPr>
            </w:pPr>
          </w:p>
        </w:tc>
      </w:tr>
    </w:tbl>
    <w:p w:rsidR="00BF1ECB" w:rsidRDefault="00BF1ECB" w:rsidP="00BF1ECB">
      <w:pPr>
        <w:spacing w:line="360" w:lineRule="auto"/>
        <w:ind w:left="720" w:hanging="720"/>
        <w:jc w:val="both"/>
        <w:rPr>
          <w:rFonts w:ascii="Arial" w:hAnsi="Arial"/>
          <w:noProof w:val="0"/>
        </w:rPr>
      </w:pPr>
      <w:bookmarkStart w:id="0" w:name="NGCSBookmark"/>
      <w:bookmarkEnd w:id="0"/>
      <w:r>
        <w:rPr>
          <w:rFonts w:ascii="Arial" w:hAnsi="Arial"/>
          <w:noProof w:val="0"/>
          <w:rtl/>
        </w:rPr>
        <w:t>1.</w:t>
      </w:r>
      <w:r>
        <w:rPr>
          <w:rFonts w:ascii="Arial" w:hAnsi="Arial"/>
          <w:noProof w:val="0"/>
          <w:rtl/>
        </w:rPr>
        <w:tab/>
        <w:t xml:space="preserve">בעניינם של הצדדים תלויים ועומדים שלושה הליכים, כאשר קדם לניהול שלושת הליכים אלו הליך נוסף במסגרת ה"ט 8632-12-22. כלל ההליכים הם למעשה תוצר של מחלוקת וסכסוך משפחתי בין פלונית ובין בתה </w:t>
      </w:r>
      <w:r>
        <w:rPr>
          <w:rFonts w:ascii="Arial" w:hAnsi="Arial" w:hint="cs"/>
          <w:noProof w:val="0"/>
          <w:rtl/>
        </w:rPr>
        <w:t>אלמונית</w:t>
      </w:r>
      <w:r>
        <w:rPr>
          <w:rFonts w:ascii="Arial" w:hAnsi="Arial"/>
          <w:noProof w:val="0"/>
          <w:rtl/>
        </w:rPr>
        <w:t xml:space="preserve"> ובעלה של הבת </w:t>
      </w:r>
      <w:r>
        <w:rPr>
          <w:rFonts w:ascii="Arial" w:hAnsi="Arial" w:hint="cs"/>
          <w:noProof w:val="0"/>
          <w:rtl/>
        </w:rPr>
        <w:t>אלמוני</w:t>
      </w:r>
      <w:r>
        <w:rPr>
          <w:rFonts w:ascii="Arial" w:hAnsi="Arial"/>
          <w:noProof w:val="0"/>
          <w:rtl/>
        </w:rPr>
        <w:t xml:space="preserve">. באחד ההליכים צורף כמשיב אחיה של פלונית מר </w:t>
      </w:r>
      <w:r>
        <w:rPr>
          <w:rFonts w:ascii="Arial" w:hAnsi="Arial" w:hint="cs"/>
          <w:noProof w:val="0"/>
          <w:rtl/>
        </w:rPr>
        <w:t>פלוני</w:t>
      </w:r>
      <w:r>
        <w:rPr>
          <w:rFonts w:ascii="Arial" w:hAnsi="Arial"/>
          <w:noProof w:val="0"/>
          <w:rtl/>
        </w:rPr>
        <w:t>.</w:t>
      </w:r>
    </w:p>
    <w:p w:rsidR="00BF1ECB" w:rsidRDefault="00BF1ECB" w:rsidP="00BF1ECB">
      <w:pPr>
        <w:spacing w:line="360" w:lineRule="auto"/>
        <w:jc w:val="both"/>
        <w:rPr>
          <w:rFonts w:ascii="Arial" w:hAnsi="Arial"/>
          <w:noProof w:val="0"/>
          <w:rtl/>
        </w:rPr>
      </w:pPr>
    </w:p>
    <w:p w:rsidR="00BF1ECB" w:rsidRDefault="00BF1ECB" w:rsidP="00BF1ECB">
      <w:pPr>
        <w:spacing w:line="360" w:lineRule="auto"/>
        <w:ind w:left="720" w:hanging="720"/>
        <w:jc w:val="both"/>
        <w:rPr>
          <w:rFonts w:ascii="Arial" w:hAnsi="Arial"/>
          <w:noProof w:val="0"/>
          <w:rtl/>
        </w:rPr>
      </w:pPr>
      <w:r>
        <w:rPr>
          <w:rFonts w:ascii="Arial" w:hAnsi="Arial"/>
          <w:noProof w:val="0"/>
          <w:rtl/>
        </w:rPr>
        <w:t>2.</w:t>
      </w:r>
      <w:r>
        <w:rPr>
          <w:rFonts w:ascii="Arial" w:hAnsi="Arial"/>
          <w:noProof w:val="0"/>
          <w:rtl/>
        </w:rPr>
        <w:tab/>
        <w:t>מצאתי לציין כי פלונית ילידת 1936 בת 87 שנים, אלמנה ואם לבת יחידה, פרופסור ל</w:t>
      </w:r>
      <w:r>
        <w:rPr>
          <w:rFonts w:ascii="Arial" w:hAnsi="Arial" w:hint="cs"/>
          <w:noProof w:val="0"/>
          <w:rtl/>
        </w:rPr>
        <w:t>*****</w:t>
      </w:r>
      <w:r>
        <w:rPr>
          <w:rFonts w:ascii="Arial" w:hAnsi="Arial"/>
          <w:noProof w:val="0"/>
          <w:rtl/>
        </w:rPr>
        <w:t xml:space="preserve"> באוניברסיטת </w:t>
      </w:r>
      <w:r>
        <w:rPr>
          <w:rFonts w:ascii="Arial" w:hAnsi="Arial" w:hint="cs"/>
          <w:noProof w:val="0"/>
          <w:rtl/>
        </w:rPr>
        <w:t>*****</w:t>
      </w:r>
      <w:r>
        <w:rPr>
          <w:rFonts w:ascii="Arial" w:hAnsi="Arial"/>
          <w:noProof w:val="0"/>
          <w:rtl/>
        </w:rPr>
        <w:t>, מתגוררת כיום לבדה בשכירות ביחידת דיור בבית פרטי ב</w:t>
      </w:r>
      <w:r>
        <w:rPr>
          <w:rFonts w:ascii="Arial" w:hAnsi="Arial" w:hint="cs"/>
          <w:noProof w:val="0"/>
          <w:rtl/>
        </w:rPr>
        <w:t>******</w:t>
      </w:r>
      <w:r>
        <w:rPr>
          <w:rFonts w:ascii="Arial" w:hAnsi="Arial"/>
          <w:noProof w:val="0"/>
          <w:rtl/>
        </w:rPr>
        <w:t xml:space="preserve">. </w:t>
      </w:r>
    </w:p>
    <w:p w:rsidR="00BF1ECB" w:rsidRDefault="00BF1ECB" w:rsidP="00BF1ECB">
      <w:pPr>
        <w:spacing w:line="360" w:lineRule="auto"/>
        <w:jc w:val="both"/>
        <w:rPr>
          <w:rFonts w:ascii="Arial" w:hAnsi="Arial"/>
          <w:noProof w:val="0"/>
          <w:rtl/>
        </w:rPr>
      </w:pPr>
    </w:p>
    <w:p w:rsidR="00BF1ECB" w:rsidRDefault="00BF1ECB" w:rsidP="00BF1ECB">
      <w:pPr>
        <w:spacing w:line="360" w:lineRule="auto"/>
        <w:ind w:left="720" w:hanging="720"/>
        <w:jc w:val="both"/>
        <w:rPr>
          <w:rFonts w:ascii="Arial" w:hAnsi="Arial"/>
          <w:noProof w:val="0"/>
          <w:rtl/>
        </w:rPr>
      </w:pPr>
      <w:r>
        <w:rPr>
          <w:rFonts w:ascii="Arial" w:hAnsi="Arial"/>
          <w:noProof w:val="0"/>
          <w:rtl/>
        </w:rPr>
        <w:t>3.</w:t>
      </w:r>
      <w:r>
        <w:rPr>
          <w:rFonts w:ascii="Arial" w:hAnsi="Arial"/>
          <w:noProof w:val="0"/>
          <w:rtl/>
        </w:rPr>
        <w:tab/>
        <w:t xml:space="preserve">בהליך הראשון שנפתח ה"ט 8632-12-22 עתרה גב' פלונית למתן צו מכח החוק למניעת אלימות במשפחה, כנגד בתה וחתנה. במסגרת אותו הליך הביע בית המשפט עמדתו כי למעשה מתברר שהמחלוקת האמיתית נוגעת להפעלת יפוי כח מתמשך ע"י הבת והחתן בעניינה של גב' פלונית. על פי הסכמת הצדדים ניתן צו מניעה, ובסמוך לאחר סיום הליך במסגרת החוק למניעת אלימות במשפחה, הוגשה ע"י הגב' פלונית תביעה לביטול יפוי כח מתמשך תיק א"פ 49617-12-22, במקביל לכך שבתה עתרה למנות לה אפוט' בתיק א"פ 50014-12-22 ובמסגרת תביעה זו עתרה להורות על הוצאתה של הגב' פלונית למסגרת חוץ ביתית. </w:t>
      </w:r>
    </w:p>
    <w:p w:rsidR="00BF1ECB" w:rsidRDefault="00BF1ECB" w:rsidP="00BF1ECB">
      <w:pPr>
        <w:spacing w:line="360" w:lineRule="auto"/>
        <w:jc w:val="both"/>
        <w:rPr>
          <w:rFonts w:ascii="Arial" w:hAnsi="Arial"/>
          <w:noProof w:val="0"/>
          <w:rtl/>
        </w:rPr>
      </w:pPr>
    </w:p>
    <w:p w:rsidR="00BF1ECB" w:rsidRDefault="00BF1ECB" w:rsidP="00BF1ECB">
      <w:pPr>
        <w:spacing w:line="360" w:lineRule="auto"/>
        <w:ind w:left="720" w:hanging="720"/>
        <w:jc w:val="both"/>
        <w:rPr>
          <w:rFonts w:ascii="Arial" w:hAnsi="Arial"/>
          <w:noProof w:val="0"/>
          <w:rtl/>
        </w:rPr>
      </w:pPr>
      <w:r>
        <w:rPr>
          <w:rFonts w:ascii="Arial" w:hAnsi="Arial"/>
          <w:noProof w:val="0"/>
          <w:rtl/>
        </w:rPr>
        <w:t>4.</w:t>
      </w:r>
      <w:r>
        <w:rPr>
          <w:rFonts w:ascii="Arial" w:hAnsi="Arial"/>
          <w:noProof w:val="0"/>
          <w:rtl/>
        </w:rPr>
        <w:tab/>
        <w:t>לאחר מספר שבועות הוגשה אף תביעת הגב' פלונית להשבת כספים שנלקחו ממנה ע"י הבת והחתן, במסגרת תמ"ש 32001-02-23.</w:t>
      </w:r>
    </w:p>
    <w:p w:rsidR="00BF1ECB" w:rsidRDefault="00BF1ECB" w:rsidP="00BF1ECB">
      <w:pPr>
        <w:spacing w:line="360" w:lineRule="auto"/>
        <w:jc w:val="both"/>
        <w:rPr>
          <w:rFonts w:ascii="Arial" w:hAnsi="Arial"/>
          <w:noProof w:val="0"/>
          <w:rtl/>
        </w:rPr>
      </w:pPr>
    </w:p>
    <w:p w:rsidR="00BF1ECB" w:rsidRDefault="00BF1ECB" w:rsidP="00BF1ECB">
      <w:pPr>
        <w:spacing w:line="360" w:lineRule="auto"/>
        <w:ind w:left="720" w:hanging="720"/>
        <w:jc w:val="both"/>
        <w:rPr>
          <w:rFonts w:ascii="Arial" w:hAnsi="Arial"/>
          <w:noProof w:val="0"/>
          <w:rtl/>
        </w:rPr>
      </w:pPr>
      <w:r>
        <w:rPr>
          <w:rFonts w:ascii="Arial" w:hAnsi="Arial"/>
          <w:noProof w:val="0"/>
          <w:rtl/>
        </w:rPr>
        <w:t>5.</w:t>
      </w:r>
      <w:r>
        <w:rPr>
          <w:rFonts w:ascii="Arial" w:hAnsi="Arial"/>
          <w:noProof w:val="0"/>
          <w:rtl/>
        </w:rPr>
        <w:tab/>
        <w:t xml:space="preserve">יובהר כי במסגרת בקשת הגב' פלונית למתן צו מניעה ניתן צו מניעה שאסר על הבת והחתן לפעול בנכסיה של הגברת פלונית עד להכרעת בית המשפט בעניינה. </w:t>
      </w:r>
    </w:p>
    <w:p w:rsidR="00BF1ECB" w:rsidRDefault="00BF1ECB" w:rsidP="00BF1ECB">
      <w:pPr>
        <w:spacing w:line="360" w:lineRule="auto"/>
        <w:jc w:val="both"/>
        <w:rPr>
          <w:rFonts w:ascii="Arial" w:hAnsi="Arial"/>
          <w:noProof w:val="0"/>
          <w:rtl/>
        </w:rPr>
      </w:pPr>
    </w:p>
    <w:p w:rsidR="00BF1ECB" w:rsidRDefault="00BF1ECB" w:rsidP="00BF1ECB">
      <w:pPr>
        <w:spacing w:line="360" w:lineRule="auto"/>
        <w:ind w:left="720" w:hanging="720"/>
        <w:jc w:val="both"/>
        <w:rPr>
          <w:rFonts w:ascii="Arial" w:hAnsi="Arial"/>
          <w:noProof w:val="0"/>
          <w:rtl/>
        </w:rPr>
      </w:pPr>
      <w:r>
        <w:rPr>
          <w:rFonts w:ascii="Arial" w:hAnsi="Arial"/>
          <w:noProof w:val="0"/>
          <w:rtl/>
        </w:rPr>
        <w:t>6.</w:t>
      </w:r>
      <w:r>
        <w:rPr>
          <w:rFonts w:ascii="Arial" w:hAnsi="Arial"/>
          <w:noProof w:val="0"/>
          <w:rtl/>
        </w:rPr>
        <w:tab/>
        <w:t>הגב' פלונית מצדה טענה כי לא היתה כל הצדקה להפעלת יפוי הכח המתמשך, היא כשירה לנהל את ענייניה האישיים והרכושיים בעצמה.</w:t>
      </w:r>
    </w:p>
    <w:p w:rsidR="00BF1ECB" w:rsidRDefault="00BF1ECB" w:rsidP="00BF1ECB">
      <w:pPr>
        <w:spacing w:line="360" w:lineRule="auto"/>
        <w:jc w:val="both"/>
        <w:rPr>
          <w:rFonts w:ascii="Arial" w:hAnsi="Arial"/>
          <w:noProof w:val="0"/>
          <w:rtl/>
        </w:rPr>
      </w:pPr>
    </w:p>
    <w:p w:rsidR="00BF1ECB" w:rsidRDefault="00BF1ECB" w:rsidP="00BF1ECB">
      <w:pPr>
        <w:spacing w:line="360" w:lineRule="auto"/>
        <w:ind w:left="720" w:hanging="720"/>
        <w:jc w:val="both"/>
        <w:rPr>
          <w:rFonts w:ascii="Arial" w:hAnsi="Arial"/>
          <w:noProof w:val="0"/>
          <w:rtl/>
        </w:rPr>
      </w:pPr>
      <w:r>
        <w:rPr>
          <w:rFonts w:ascii="Arial" w:hAnsi="Arial"/>
          <w:noProof w:val="0"/>
          <w:rtl/>
        </w:rPr>
        <w:t>6.</w:t>
      </w:r>
      <w:r>
        <w:rPr>
          <w:rFonts w:ascii="Arial" w:hAnsi="Arial"/>
          <w:noProof w:val="0"/>
          <w:rtl/>
        </w:rPr>
        <w:tab/>
        <w:t>במסגרת ניהול ההליכים, צורפו דיווחי עו"ס לסדרי דין וב"כ היועמ"ש במשרד הרווחה אשר הבהירו כי מבדיקות שערכו אכן מדובר באישה שכשירה לטפל בכלל עניינה בעצמה.</w:t>
      </w:r>
    </w:p>
    <w:p w:rsidR="00BF1ECB" w:rsidRDefault="00BF1ECB" w:rsidP="00BF1ECB">
      <w:pPr>
        <w:spacing w:line="360" w:lineRule="auto"/>
        <w:jc w:val="both"/>
        <w:rPr>
          <w:rFonts w:ascii="Arial" w:hAnsi="Arial"/>
          <w:noProof w:val="0"/>
          <w:rtl/>
        </w:rPr>
      </w:pPr>
    </w:p>
    <w:p w:rsidR="00BF1ECB" w:rsidRDefault="00BF1ECB" w:rsidP="00BF1ECB">
      <w:pPr>
        <w:spacing w:line="360" w:lineRule="auto"/>
        <w:ind w:left="720" w:hanging="720"/>
        <w:jc w:val="both"/>
        <w:rPr>
          <w:rFonts w:ascii="Arial" w:hAnsi="Arial"/>
          <w:noProof w:val="0"/>
          <w:rtl/>
        </w:rPr>
      </w:pPr>
      <w:r>
        <w:rPr>
          <w:rFonts w:ascii="Arial" w:hAnsi="Arial"/>
          <w:noProof w:val="0"/>
          <w:rtl/>
        </w:rPr>
        <w:t>7.</w:t>
      </w:r>
      <w:r>
        <w:rPr>
          <w:rFonts w:ascii="Arial" w:hAnsi="Arial"/>
          <w:noProof w:val="0"/>
          <w:rtl/>
        </w:rPr>
        <w:tab/>
        <w:t xml:space="preserve">במקביל, עמדו הבת והחתן על טענתם כי הגב' פלונית סובלת משינויים במצבה הקוגניטיבי אינה כשירה לטפל בענייניה וביקשו לאשר להם לפעול לנהל את עיניה מכח יפוי כח המתמשך, תוך שאף טוענים כי הרקע להגשת התביעות ע"י הגב' פלונית הוא יחסיה עם אישה שהיא שוכרת ממנה יחידת דיור כאשר נטען שיש חשש לניצולה של הגב' פלונית וניסיון להשתלט על נכסיה מצד אותה אשה צד ג'. </w:t>
      </w:r>
    </w:p>
    <w:p w:rsidR="00BF1ECB" w:rsidRDefault="00BF1ECB" w:rsidP="00BF1ECB">
      <w:pPr>
        <w:spacing w:line="360" w:lineRule="auto"/>
        <w:jc w:val="both"/>
        <w:rPr>
          <w:rFonts w:ascii="Arial" w:hAnsi="Arial"/>
          <w:noProof w:val="0"/>
          <w:rtl/>
        </w:rPr>
      </w:pPr>
    </w:p>
    <w:p w:rsidR="00BF1ECB" w:rsidRDefault="00BF1ECB" w:rsidP="00BF1ECB">
      <w:pPr>
        <w:spacing w:line="360" w:lineRule="auto"/>
        <w:ind w:left="720" w:hanging="720"/>
        <w:jc w:val="both"/>
        <w:rPr>
          <w:rFonts w:ascii="Arial" w:hAnsi="Arial"/>
          <w:noProof w:val="0"/>
          <w:rtl/>
        </w:rPr>
      </w:pPr>
      <w:r>
        <w:rPr>
          <w:rFonts w:ascii="Arial" w:hAnsi="Arial"/>
          <w:noProof w:val="0"/>
          <w:rtl/>
        </w:rPr>
        <w:t>8.</w:t>
      </w:r>
      <w:r>
        <w:rPr>
          <w:rFonts w:ascii="Arial" w:hAnsi="Arial"/>
          <w:noProof w:val="0"/>
          <w:rtl/>
        </w:rPr>
        <w:tab/>
        <w:t>יובהר כי בין לבין הוגש גם תצהיר מטעמו של אחיה של הגב' פלונית אשר תמך בעמדתה, הבהיר כי אחותו על אף גילה עצמאית לחלוטין, מטפלת בענייניה וכשירה לעשות כך.</w:t>
      </w:r>
    </w:p>
    <w:p w:rsidR="00BF1ECB" w:rsidRDefault="00BF1ECB" w:rsidP="00BF1ECB">
      <w:pPr>
        <w:spacing w:line="360" w:lineRule="auto"/>
        <w:jc w:val="both"/>
        <w:rPr>
          <w:rFonts w:ascii="Arial" w:hAnsi="Arial"/>
          <w:noProof w:val="0"/>
          <w:rtl/>
        </w:rPr>
      </w:pPr>
    </w:p>
    <w:p w:rsidR="00BF1ECB" w:rsidRDefault="00BF1ECB" w:rsidP="00BF1ECB">
      <w:pPr>
        <w:spacing w:line="360" w:lineRule="auto"/>
        <w:ind w:left="720" w:hanging="720"/>
        <w:jc w:val="both"/>
        <w:rPr>
          <w:rFonts w:ascii="Arial" w:hAnsi="Arial"/>
          <w:noProof w:val="0"/>
          <w:rtl/>
        </w:rPr>
      </w:pPr>
      <w:r>
        <w:rPr>
          <w:rFonts w:ascii="Arial" w:hAnsi="Arial"/>
          <w:noProof w:val="0"/>
          <w:rtl/>
        </w:rPr>
        <w:t>9.</w:t>
      </w:r>
      <w:r>
        <w:rPr>
          <w:rFonts w:ascii="Arial" w:hAnsi="Arial"/>
          <w:noProof w:val="0"/>
          <w:rtl/>
        </w:rPr>
        <w:tab/>
        <w:t xml:space="preserve">בדיון שהתקיים ביום  27.2.2023, בכלל הסוגיות המצויות במחלוקת בין הצדדים, הסכימו הצדדים להצעת בית המשפט כי ימונה מומחה מטעם בית המשפט, אשר יבדוק את כשירותה של הגב' פלונית  על מנת שניתן יהיה לקדם בירור ההליכים. </w:t>
      </w:r>
    </w:p>
    <w:p w:rsidR="00BF1ECB" w:rsidRDefault="00BF1ECB" w:rsidP="00BF1ECB">
      <w:pPr>
        <w:spacing w:line="360" w:lineRule="auto"/>
        <w:jc w:val="both"/>
        <w:rPr>
          <w:rFonts w:ascii="Arial" w:hAnsi="Arial"/>
          <w:noProof w:val="0"/>
          <w:rtl/>
        </w:rPr>
      </w:pPr>
    </w:p>
    <w:p w:rsidR="00BF1ECB" w:rsidRDefault="00BF1ECB" w:rsidP="00BF1ECB">
      <w:pPr>
        <w:spacing w:line="360" w:lineRule="auto"/>
        <w:ind w:left="720" w:hanging="720"/>
        <w:jc w:val="both"/>
        <w:rPr>
          <w:rFonts w:ascii="Arial" w:hAnsi="Arial"/>
          <w:noProof w:val="0"/>
          <w:rtl/>
        </w:rPr>
      </w:pPr>
      <w:r>
        <w:rPr>
          <w:rFonts w:ascii="Arial" w:hAnsi="Arial"/>
          <w:noProof w:val="0"/>
          <w:rtl/>
        </w:rPr>
        <w:t>10.</w:t>
      </w:r>
      <w:r>
        <w:rPr>
          <w:rFonts w:ascii="Arial" w:hAnsi="Arial"/>
          <w:noProof w:val="0"/>
          <w:rtl/>
        </w:rPr>
        <w:tab/>
        <w:t xml:space="preserve">יובהר כי במהלך הדיון היתה הגב' פלונית מיוצגת ובאותו דיון, הבהיר ב"כ היועמ"ש כי הגב' פלונית גם נבדקה ע"י מומחה כחלק מצוות בדיקה שכינסה עו"ס לסדרי דין בחודש דצמבר 2022 ובמסגרת זו, נקבעה התרשמות העו"ס וצוות הבדיקה כי מדובר באישה צלולה לחלוטין, אשר כשירה לנהל את עניינה בעצמה, מנהלת את ענייניה באופן מרשים, כאשר צוין כי היא כשירה קוגניטיבית באופן שהרבה אנשים צלולים אחרים יכולים לשאוף אליו. </w:t>
      </w:r>
    </w:p>
    <w:p w:rsidR="00BF1ECB" w:rsidRDefault="00BF1ECB" w:rsidP="00BF1ECB">
      <w:pPr>
        <w:spacing w:line="360" w:lineRule="auto"/>
        <w:ind w:left="720"/>
        <w:jc w:val="both"/>
        <w:rPr>
          <w:rFonts w:ascii="Arial" w:hAnsi="Arial"/>
          <w:noProof w:val="0"/>
          <w:rtl/>
        </w:rPr>
      </w:pPr>
      <w:r>
        <w:rPr>
          <w:rFonts w:ascii="Arial" w:hAnsi="Arial"/>
          <w:noProof w:val="0"/>
          <w:rtl/>
        </w:rPr>
        <w:lastRenderedPageBreak/>
        <w:t>ב"כ היועמ"ש הבהיר כי צוות הבדיקה כונס על מנת להבטיח כי התרשמות העו"ס בצורה בלתי אמצעית, מבוססת גם בתמיכת המומחים.</w:t>
      </w:r>
    </w:p>
    <w:p w:rsidR="00BF1ECB" w:rsidRDefault="00BF1ECB" w:rsidP="00BF1ECB">
      <w:pPr>
        <w:spacing w:line="360" w:lineRule="auto"/>
        <w:jc w:val="both"/>
        <w:rPr>
          <w:rFonts w:ascii="Arial" w:hAnsi="Arial"/>
          <w:noProof w:val="0"/>
          <w:rtl/>
        </w:rPr>
      </w:pPr>
    </w:p>
    <w:p w:rsidR="00BF1ECB" w:rsidRDefault="00BF1ECB" w:rsidP="00BF1ECB">
      <w:pPr>
        <w:spacing w:line="360" w:lineRule="auto"/>
        <w:ind w:left="720"/>
        <w:jc w:val="both"/>
        <w:rPr>
          <w:rFonts w:ascii="Arial" w:hAnsi="Arial"/>
          <w:noProof w:val="0"/>
          <w:rtl/>
        </w:rPr>
      </w:pPr>
      <w:r>
        <w:rPr>
          <w:rFonts w:ascii="Arial" w:hAnsi="Arial"/>
          <w:noProof w:val="0"/>
          <w:rtl/>
        </w:rPr>
        <w:t xml:space="preserve">באת כוחה של הגב' פלונית עו"ד דביר הגישה חוות דעת שתמכו בטענותיה של הגב' פלונית ביחס לעצמה. </w:t>
      </w:r>
    </w:p>
    <w:p w:rsidR="00BF1ECB" w:rsidRDefault="00BF1ECB" w:rsidP="00BF1ECB">
      <w:pPr>
        <w:spacing w:line="360" w:lineRule="auto"/>
        <w:jc w:val="both"/>
        <w:rPr>
          <w:rFonts w:ascii="Arial" w:hAnsi="Arial"/>
          <w:noProof w:val="0"/>
          <w:rtl/>
        </w:rPr>
      </w:pPr>
    </w:p>
    <w:p w:rsidR="00BF1ECB" w:rsidRDefault="00BF1ECB" w:rsidP="00BF1ECB">
      <w:pPr>
        <w:spacing w:line="360" w:lineRule="auto"/>
        <w:ind w:left="720"/>
        <w:jc w:val="both"/>
        <w:rPr>
          <w:rFonts w:ascii="Arial" w:hAnsi="Arial"/>
          <w:noProof w:val="0"/>
          <w:rtl/>
        </w:rPr>
      </w:pPr>
      <w:r>
        <w:rPr>
          <w:rFonts w:ascii="Arial" w:hAnsi="Arial"/>
          <w:noProof w:val="0"/>
          <w:rtl/>
        </w:rPr>
        <w:t xml:space="preserve">על אף כל האמור, עמד בא כוחם של הבת ובעלה, עו"ד ספיר בן אליהו על דאגתם של בני המשפחה וטוען כי אין מדובר בהליכי סרק ומצבה של הגב' פלונית טעון בירור. </w:t>
      </w:r>
    </w:p>
    <w:p w:rsidR="00BF1ECB" w:rsidRDefault="00BF1ECB" w:rsidP="00BF1ECB">
      <w:pPr>
        <w:spacing w:line="360" w:lineRule="auto"/>
        <w:jc w:val="both"/>
        <w:rPr>
          <w:rFonts w:ascii="Arial" w:hAnsi="Arial"/>
          <w:noProof w:val="0"/>
          <w:rtl/>
        </w:rPr>
      </w:pPr>
    </w:p>
    <w:p w:rsidR="00BF1ECB" w:rsidRDefault="00BF1ECB" w:rsidP="00BF1ECB">
      <w:pPr>
        <w:spacing w:line="360" w:lineRule="auto"/>
        <w:ind w:left="720" w:hanging="720"/>
        <w:jc w:val="both"/>
        <w:rPr>
          <w:rFonts w:ascii="Arial" w:hAnsi="Arial"/>
          <w:noProof w:val="0"/>
          <w:rtl/>
        </w:rPr>
      </w:pPr>
      <w:r>
        <w:rPr>
          <w:rFonts w:ascii="Arial" w:hAnsi="Arial"/>
          <w:noProof w:val="0"/>
          <w:rtl/>
        </w:rPr>
        <w:t>11.</w:t>
      </w:r>
      <w:r>
        <w:rPr>
          <w:rFonts w:ascii="Arial" w:hAnsi="Arial"/>
          <w:noProof w:val="0"/>
          <w:rtl/>
        </w:rPr>
        <w:tab/>
        <w:t xml:space="preserve">בית המשפט מינה את פרופ' מערבי כמומחה מטעם ביתה משפט להגשת חוות הדעת וביום 14.5.23 הוגשה חוות הדעת לתיק בית המשפט. בחוות הדעת ציין פרופ' מערבי כי עיין במסמכים רפואיים שונים הנוגעים לגב' פלונית וכן נבדקה על ידו בביתה, ללא נוכחות בעלת הבית (זו אשר נטען ע"י הבת ובעלה כי משפיעה על הגב' פלונית, השופטת ר.ק.ע). </w:t>
      </w:r>
    </w:p>
    <w:p w:rsidR="00BF1ECB" w:rsidRDefault="00BF1ECB" w:rsidP="00BF1ECB">
      <w:pPr>
        <w:spacing w:line="360" w:lineRule="auto"/>
        <w:jc w:val="both"/>
        <w:rPr>
          <w:rFonts w:ascii="Arial" w:hAnsi="Arial"/>
          <w:noProof w:val="0"/>
          <w:rtl/>
        </w:rPr>
      </w:pPr>
    </w:p>
    <w:p w:rsidR="00BF1ECB" w:rsidRDefault="00BF1ECB" w:rsidP="00BF1ECB">
      <w:pPr>
        <w:spacing w:line="360" w:lineRule="auto"/>
        <w:ind w:left="720" w:hanging="720"/>
        <w:jc w:val="both"/>
        <w:rPr>
          <w:rFonts w:ascii="Arial" w:hAnsi="Arial"/>
          <w:noProof w:val="0"/>
          <w:rtl/>
        </w:rPr>
      </w:pPr>
      <w:r>
        <w:rPr>
          <w:rFonts w:ascii="Arial" w:hAnsi="Arial"/>
          <w:noProof w:val="0"/>
          <w:rtl/>
        </w:rPr>
        <w:t>12.</w:t>
      </w:r>
      <w:r>
        <w:rPr>
          <w:rFonts w:ascii="Arial" w:hAnsi="Arial"/>
          <w:noProof w:val="0"/>
          <w:rtl/>
        </w:rPr>
        <w:tab/>
        <w:t xml:space="preserve">סיכום חוות הדעת המומחה ביחס לשאלה האם הגב' פלונית כשירה לקבל החלטות ולנהל את ענייניה או האם יש מקום למנות לה אפוטרופוס או להפעיל בעניינה יפוי כח מתמשך הוא כי </w:t>
      </w:r>
      <w:r>
        <w:rPr>
          <w:rFonts w:ascii="Arial" w:hAnsi="Arial"/>
          <w:b/>
          <w:bCs/>
          <w:noProof w:val="0"/>
          <w:rtl/>
        </w:rPr>
        <w:t>על בסיס בדיקה והערכה קוגניטיבית שבוצעה, הגב' פלונית  כשירה ללא ספק, לקבלת החלטות לגבי חייה ורכושה ויכולת ההבנה והתובנה שלה למצבה ולנסיבות היא מלאה.</w:t>
      </w:r>
      <w:r>
        <w:rPr>
          <w:rFonts w:ascii="Arial" w:hAnsi="Arial"/>
          <w:noProof w:val="0"/>
          <w:rtl/>
        </w:rPr>
        <w:t xml:space="preserve"> המומחה מציין בחוות דעתו כי אכן הגב' פלונית סבלה במהלך השנים 2017-2019 ממספר אירועי דליריום, מצב רפואי המוכר כמצב בלבולי חריף אשר הוביל לאשפוזים בחלק מהמקרים אך מאז לא סבלה אירועים חוזרים ומצבה הקוגניטיבי חזר לקדמותו.</w:t>
      </w:r>
    </w:p>
    <w:p w:rsidR="00BF1ECB" w:rsidRDefault="00BF1ECB" w:rsidP="00BF1ECB">
      <w:pPr>
        <w:spacing w:line="360" w:lineRule="auto"/>
        <w:ind w:left="720"/>
        <w:jc w:val="both"/>
        <w:rPr>
          <w:rFonts w:ascii="Arial" w:hAnsi="Arial"/>
          <w:noProof w:val="0"/>
          <w:rtl/>
        </w:rPr>
      </w:pPr>
      <w:r>
        <w:rPr>
          <w:rFonts w:ascii="Arial" w:hAnsi="Arial"/>
          <w:noProof w:val="0"/>
          <w:rtl/>
        </w:rPr>
        <w:t xml:space="preserve">צוין בחוות הדעת כי מהתיעוד הרפואי עולה כי אירועי הדילריום נגרמו ונמשכו בשל זיהומים ושימוש בתרופות ולבסוף חלפו ואף באבחונים שבוצעו לאחר אירועי הדליריום נמצא כי מצבה הקוגניטיבי והנפשי תקין ואין עדות לדמנציה או למחלת נפש. </w:t>
      </w:r>
    </w:p>
    <w:p w:rsidR="00BF1ECB" w:rsidRDefault="00BF1ECB" w:rsidP="00BF1ECB">
      <w:pPr>
        <w:spacing w:line="360" w:lineRule="auto"/>
        <w:ind w:left="720"/>
        <w:jc w:val="both"/>
        <w:rPr>
          <w:rFonts w:ascii="Arial" w:hAnsi="Arial"/>
          <w:noProof w:val="0"/>
          <w:rtl/>
        </w:rPr>
      </w:pPr>
      <w:r>
        <w:rPr>
          <w:rFonts w:ascii="Arial" w:hAnsi="Arial"/>
          <w:noProof w:val="0"/>
          <w:rtl/>
        </w:rPr>
        <w:t xml:space="preserve">המומחה מציין כי גם בעת הבדיקה נמצא כי מצבה הקוגניטיבי תקין ואין הפרעה בתוכן ובמהלך החשיבה. </w:t>
      </w:r>
    </w:p>
    <w:p w:rsidR="00BF1ECB" w:rsidRDefault="00BF1ECB" w:rsidP="00BF1ECB">
      <w:pPr>
        <w:spacing w:line="360" w:lineRule="auto"/>
        <w:ind w:left="720"/>
        <w:jc w:val="both"/>
        <w:rPr>
          <w:rFonts w:ascii="Arial" w:hAnsi="Arial"/>
          <w:noProof w:val="0"/>
          <w:rtl/>
        </w:rPr>
      </w:pPr>
      <w:r>
        <w:rPr>
          <w:rFonts w:ascii="Arial" w:hAnsi="Arial"/>
          <w:noProof w:val="0"/>
          <w:rtl/>
        </w:rPr>
        <w:t>המומחה מציין כי הגב' פלונית מנהלת את חייה בעזרת בעלת הבית בו היא מתגוררת, והיא מבינה את כל הסוגיות הנדרשות לניהול חיים עצמאיים ומדגימה כשירות תקינה בהחלטות על סוגיות של מגורים,  סיוע בתפקוד, סיוע בניהול כספי ועוד.</w:t>
      </w:r>
    </w:p>
    <w:p w:rsidR="00BF1ECB" w:rsidRDefault="00BF1ECB" w:rsidP="00BF1ECB">
      <w:pPr>
        <w:spacing w:line="360" w:lineRule="auto"/>
        <w:ind w:left="720"/>
        <w:jc w:val="both"/>
        <w:rPr>
          <w:rFonts w:ascii="Arial" w:hAnsi="Arial"/>
          <w:noProof w:val="0"/>
          <w:rtl/>
        </w:rPr>
      </w:pPr>
      <w:r>
        <w:rPr>
          <w:rFonts w:ascii="Arial" w:hAnsi="Arial"/>
          <w:noProof w:val="0"/>
          <w:rtl/>
        </w:rPr>
        <w:t xml:space="preserve">המומחה מסכם בחוות דעתו כי הגב' פלונית אינה זקוקה למינוי אפוטרופוס ואינה זקוקה כיום למיופה כח מתמשך. </w:t>
      </w:r>
    </w:p>
    <w:p w:rsidR="00BF1ECB" w:rsidRDefault="00BF1ECB" w:rsidP="00BF1ECB">
      <w:pPr>
        <w:spacing w:line="360" w:lineRule="auto"/>
        <w:ind w:left="720" w:hanging="720"/>
        <w:jc w:val="both"/>
        <w:rPr>
          <w:rFonts w:ascii="Arial" w:hAnsi="Arial"/>
          <w:noProof w:val="0"/>
          <w:rtl/>
        </w:rPr>
      </w:pPr>
      <w:r>
        <w:rPr>
          <w:rFonts w:ascii="Arial" w:hAnsi="Arial"/>
          <w:noProof w:val="0"/>
          <w:rtl/>
        </w:rPr>
        <w:lastRenderedPageBreak/>
        <w:t>13.</w:t>
      </w:r>
      <w:r>
        <w:rPr>
          <w:rFonts w:ascii="Arial" w:hAnsi="Arial"/>
          <w:noProof w:val="0"/>
          <w:rtl/>
        </w:rPr>
        <w:tab/>
        <w:t xml:space="preserve">לאחר הגשת חוות דעת המומחה התבקשה עמדת כלל הצדדים להמשך ניהול ההליכים. </w:t>
      </w:r>
    </w:p>
    <w:p w:rsidR="00BF1ECB" w:rsidRDefault="00BF1ECB" w:rsidP="00BF1ECB">
      <w:pPr>
        <w:spacing w:line="360" w:lineRule="auto"/>
        <w:ind w:left="720"/>
        <w:jc w:val="both"/>
        <w:rPr>
          <w:rFonts w:ascii="Arial" w:hAnsi="Arial"/>
          <w:b/>
          <w:bCs/>
          <w:noProof w:val="0"/>
          <w:rtl/>
        </w:rPr>
      </w:pPr>
      <w:r>
        <w:rPr>
          <w:rFonts w:ascii="Arial" w:hAnsi="Arial"/>
          <w:noProof w:val="0"/>
          <w:rtl/>
        </w:rPr>
        <w:t xml:space="preserve">באת כוחה של הגב' פלונית כמו גם ב"כ היועמ"ש עומדים על דחיית הבקשה למינויי אפוטרופוס וקבלת התביעה לביטול יפוי כח מתמשך. בא כוחם של הבת והחתן, הגם טענות מפורטות בגין כל אחד מטענות התביעה, מסכים בשורה תחתונה לדחיית בקשת הבת למינוי אפוטרופוס לאמה, וטוען טענות שונות חלקן אף משונות בענין תביעת הגב' פלונית לביטול יפויי כח מתמשך וכן טוען לכך שתביעת הגב' פלונית להשבת הכספים שנמשכו מחשבונה צריכה להידחות שכן </w:t>
      </w:r>
      <w:r>
        <w:rPr>
          <w:rFonts w:ascii="Arial" w:hAnsi="Arial"/>
          <w:noProof w:val="0"/>
          <w:u w:val="single"/>
          <w:rtl/>
        </w:rPr>
        <w:t>לטענתו מדובר בכספים שנמשכו בהסכמתה של הגב' פלונית</w:t>
      </w:r>
      <w:r>
        <w:rPr>
          <w:rFonts w:ascii="Arial" w:hAnsi="Arial"/>
          <w:b/>
          <w:bCs/>
          <w:noProof w:val="0"/>
          <w:rtl/>
        </w:rPr>
        <w:t xml:space="preserve">. </w:t>
      </w:r>
    </w:p>
    <w:p w:rsidR="00BF1ECB" w:rsidRDefault="00BF1ECB" w:rsidP="00BF1ECB">
      <w:pPr>
        <w:spacing w:line="360" w:lineRule="auto"/>
        <w:jc w:val="both"/>
        <w:rPr>
          <w:rFonts w:ascii="Arial" w:hAnsi="Arial"/>
          <w:b/>
          <w:bCs/>
          <w:noProof w:val="0"/>
          <w:rtl/>
        </w:rPr>
      </w:pPr>
    </w:p>
    <w:p w:rsidR="00BF1ECB" w:rsidRDefault="00BF1ECB" w:rsidP="00BF1ECB">
      <w:pPr>
        <w:spacing w:line="360" w:lineRule="auto"/>
        <w:ind w:left="720" w:hanging="720"/>
        <w:jc w:val="both"/>
        <w:rPr>
          <w:rFonts w:ascii="Arial" w:hAnsi="Arial"/>
          <w:noProof w:val="0"/>
          <w:u w:val="single"/>
          <w:rtl/>
        </w:rPr>
      </w:pPr>
      <w:r>
        <w:rPr>
          <w:rFonts w:ascii="Arial" w:hAnsi="Arial"/>
          <w:noProof w:val="0"/>
          <w:rtl/>
        </w:rPr>
        <w:t>14.</w:t>
      </w:r>
      <w:r>
        <w:rPr>
          <w:rFonts w:ascii="Arial" w:hAnsi="Arial"/>
          <w:noProof w:val="0"/>
          <w:rtl/>
        </w:rPr>
        <w:tab/>
        <w:t xml:space="preserve">יוער בשלב זה כי </w:t>
      </w:r>
      <w:r>
        <w:rPr>
          <w:rFonts w:ascii="Arial" w:hAnsi="Arial"/>
          <w:noProof w:val="0"/>
          <w:u w:val="single"/>
          <w:rtl/>
        </w:rPr>
        <w:t>הטענה שיש להסתמך על רצונה החופשי והסכמתה של הגב' פלונית, לכאורה, למשיכת הכספים, אינה מתיישבת עם טענות יושר ותום לב שכן מקום בו הבת ובעלה סברו שיש מקום לפעול על פי רצון חופשי והסכמה של הגב' פלונית, ראוי היה שלא היו נוקטים במהלכים לצמצום עצמאותה וזכותה הבסיסית כאדם לפעול בנכסיה כבעליהם של הנכסים.</w:t>
      </w:r>
    </w:p>
    <w:p w:rsidR="00BF1ECB" w:rsidRDefault="00BF1ECB" w:rsidP="00BF1ECB">
      <w:pPr>
        <w:spacing w:line="360" w:lineRule="auto"/>
        <w:jc w:val="both"/>
        <w:rPr>
          <w:rFonts w:ascii="Arial" w:hAnsi="Arial"/>
          <w:noProof w:val="0"/>
          <w:rtl/>
        </w:rPr>
      </w:pPr>
    </w:p>
    <w:p w:rsidR="00BF1ECB" w:rsidRDefault="00BF1ECB" w:rsidP="00BF1ECB">
      <w:pPr>
        <w:spacing w:line="360" w:lineRule="auto"/>
        <w:ind w:left="720"/>
        <w:jc w:val="both"/>
        <w:rPr>
          <w:rFonts w:ascii="Arial" w:hAnsi="Arial"/>
          <w:b/>
          <w:bCs/>
          <w:noProof w:val="0"/>
          <w:rtl/>
        </w:rPr>
      </w:pPr>
      <w:r>
        <w:rPr>
          <w:rFonts w:ascii="Arial" w:hAnsi="Arial"/>
          <w:b/>
          <w:bCs/>
          <w:noProof w:val="0"/>
          <w:rtl/>
        </w:rPr>
        <w:t>מחד, מבקשים לבסס את טענותיהם הכספיות על רצונה החופשי של האם להעניק כספים ומאידך, פעלו במהלך החודשים האחרונים להגבלת החופש הבסיסי של הגב' פלונית.</w:t>
      </w:r>
    </w:p>
    <w:p w:rsidR="00BF1ECB" w:rsidRDefault="00BF1ECB" w:rsidP="00BF1ECB">
      <w:pPr>
        <w:spacing w:line="360" w:lineRule="auto"/>
        <w:jc w:val="both"/>
        <w:rPr>
          <w:rFonts w:ascii="Arial" w:hAnsi="Arial"/>
          <w:noProof w:val="0"/>
          <w:rtl/>
        </w:rPr>
      </w:pPr>
    </w:p>
    <w:p w:rsidR="00BF1ECB" w:rsidRDefault="00BF1ECB" w:rsidP="00BF1ECB">
      <w:pPr>
        <w:spacing w:line="360" w:lineRule="auto"/>
        <w:jc w:val="both"/>
        <w:rPr>
          <w:rFonts w:ascii="Arial" w:hAnsi="Arial"/>
          <w:noProof w:val="0"/>
          <w:rtl/>
        </w:rPr>
      </w:pPr>
      <w:r>
        <w:rPr>
          <w:rFonts w:ascii="Arial" w:hAnsi="Arial"/>
          <w:noProof w:val="0"/>
          <w:rtl/>
        </w:rPr>
        <w:t>15.</w:t>
      </w:r>
      <w:r>
        <w:rPr>
          <w:rFonts w:ascii="Arial" w:hAnsi="Arial"/>
          <w:noProof w:val="0"/>
          <w:rtl/>
        </w:rPr>
        <w:tab/>
        <w:t xml:space="preserve">סעיף 1 לחוק הכשרות המשפטית והאפוטרופסות, התשכ"ב – 1962 קובע כי : </w:t>
      </w:r>
    </w:p>
    <w:p w:rsidR="00BF1ECB" w:rsidRDefault="00BF1ECB" w:rsidP="00BF1ECB">
      <w:pPr>
        <w:spacing w:line="360" w:lineRule="auto"/>
        <w:ind w:firstLine="720"/>
        <w:jc w:val="both"/>
        <w:rPr>
          <w:rFonts w:ascii="Arial" w:hAnsi="Arial"/>
          <w:noProof w:val="0"/>
          <w:rtl/>
        </w:rPr>
      </w:pPr>
    </w:p>
    <w:p w:rsidR="00BF1ECB" w:rsidRDefault="00BF1ECB" w:rsidP="00BF1ECB">
      <w:pPr>
        <w:spacing w:line="360" w:lineRule="auto"/>
        <w:ind w:firstLine="720"/>
        <w:jc w:val="both"/>
        <w:rPr>
          <w:rFonts w:ascii="Arial" w:hAnsi="Arial"/>
          <w:b/>
          <w:bCs/>
          <w:noProof w:val="0"/>
          <w:rtl/>
        </w:rPr>
      </w:pPr>
      <w:r>
        <w:rPr>
          <w:rFonts w:ascii="Arial" w:hAnsi="Arial"/>
          <w:noProof w:val="0"/>
          <w:rtl/>
        </w:rPr>
        <w:t>"</w:t>
      </w:r>
      <w:r>
        <w:rPr>
          <w:rFonts w:ascii="Arial" w:hAnsi="Arial"/>
          <w:b/>
          <w:bCs/>
          <w:noProof w:val="0"/>
          <w:rtl/>
        </w:rPr>
        <w:t>כל אדם כשר לזכויות ולחובות מגמר לידתו ועד מותו".</w:t>
      </w:r>
    </w:p>
    <w:p w:rsidR="00BF1ECB" w:rsidRDefault="00BF1ECB" w:rsidP="00BF1ECB">
      <w:pPr>
        <w:spacing w:line="360" w:lineRule="auto"/>
        <w:ind w:left="720"/>
        <w:jc w:val="both"/>
        <w:rPr>
          <w:rFonts w:ascii="Arial" w:hAnsi="Arial"/>
          <w:noProof w:val="0"/>
          <w:rtl/>
        </w:rPr>
      </w:pPr>
    </w:p>
    <w:p w:rsidR="00BF1ECB" w:rsidRDefault="00BF1ECB" w:rsidP="00BF1ECB">
      <w:pPr>
        <w:spacing w:line="360" w:lineRule="auto"/>
        <w:ind w:left="720"/>
        <w:jc w:val="both"/>
        <w:rPr>
          <w:rFonts w:ascii="Arial" w:hAnsi="Arial"/>
          <w:noProof w:val="0"/>
          <w:rtl/>
        </w:rPr>
      </w:pPr>
      <w:r>
        <w:rPr>
          <w:rFonts w:ascii="Arial" w:hAnsi="Arial"/>
          <w:noProof w:val="0"/>
          <w:rtl/>
        </w:rPr>
        <w:t>בתה וחתנה של הבת של הגב' פלונית פעלו לצמצום זכויותיה הבסיסיות על פי כל דין וגם כיום למרות שהונחו בפניהם חוות הדעת, ממשיכים וטוענים טענות פטרנליסטיות, זאת שעה שגם לדידם אין כל מחלוקת בדבר כשרותה המשפטית וכשירותה המחשבתית של הגב' פלונית.</w:t>
      </w:r>
    </w:p>
    <w:p w:rsidR="00BF1ECB" w:rsidRDefault="00BF1ECB" w:rsidP="00BF1ECB">
      <w:pPr>
        <w:spacing w:line="360" w:lineRule="auto"/>
        <w:jc w:val="both"/>
        <w:rPr>
          <w:rFonts w:ascii="Arial" w:hAnsi="Arial"/>
          <w:noProof w:val="0"/>
          <w:rtl/>
        </w:rPr>
      </w:pPr>
    </w:p>
    <w:p w:rsidR="00BF1ECB" w:rsidRDefault="00BF1ECB" w:rsidP="00BF1ECB">
      <w:pPr>
        <w:spacing w:line="360" w:lineRule="auto"/>
        <w:ind w:left="720" w:hanging="720"/>
        <w:jc w:val="both"/>
        <w:rPr>
          <w:rFonts w:ascii="Arial" w:hAnsi="Arial"/>
          <w:b/>
          <w:bCs/>
          <w:noProof w:val="0"/>
          <w:rtl/>
        </w:rPr>
      </w:pPr>
      <w:r>
        <w:rPr>
          <w:rFonts w:ascii="Arial" w:hAnsi="Arial"/>
          <w:b/>
          <w:bCs/>
          <w:noProof w:val="0"/>
          <w:rtl/>
        </w:rPr>
        <w:t>16.</w:t>
      </w:r>
      <w:r>
        <w:rPr>
          <w:rFonts w:ascii="Arial" w:hAnsi="Arial"/>
          <w:b/>
          <w:bCs/>
          <w:noProof w:val="0"/>
          <w:rtl/>
        </w:rPr>
        <w:tab/>
        <w:t>לאחר עיון כאמור בכל עמדות הצדדים אני מוצאת להורות כמפורט להלן:</w:t>
      </w:r>
    </w:p>
    <w:p w:rsidR="00BF1ECB" w:rsidRDefault="00BF1ECB" w:rsidP="00BF1ECB">
      <w:pPr>
        <w:spacing w:line="360" w:lineRule="auto"/>
        <w:ind w:left="720" w:hanging="720"/>
        <w:jc w:val="both"/>
        <w:rPr>
          <w:rFonts w:ascii="Arial" w:hAnsi="Arial"/>
          <w:b/>
          <w:bCs/>
          <w:noProof w:val="0"/>
          <w:rtl/>
        </w:rPr>
      </w:pPr>
    </w:p>
    <w:p w:rsidR="00BF1ECB" w:rsidRDefault="00BF1ECB" w:rsidP="00BF1ECB">
      <w:pPr>
        <w:pStyle w:val="ae"/>
        <w:numPr>
          <w:ilvl w:val="0"/>
          <w:numId w:val="1"/>
        </w:numPr>
        <w:spacing w:line="360" w:lineRule="auto"/>
        <w:jc w:val="both"/>
        <w:rPr>
          <w:rFonts w:ascii="Arial" w:hAnsi="Arial"/>
          <w:b/>
          <w:bCs/>
          <w:noProof w:val="0"/>
          <w:rtl/>
        </w:rPr>
      </w:pPr>
      <w:r>
        <w:rPr>
          <w:rFonts w:ascii="Arial" w:hAnsi="Arial"/>
          <w:b/>
          <w:bCs/>
          <w:noProof w:val="0"/>
          <w:rtl/>
        </w:rPr>
        <w:t xml:space="preserve">יפוי כח מתמשך שנחתם ביום  4.12.2017 ע"י הגב' פלונית ונכנס לתוקפו ביום 8.7.2019 יבוטל וכן יבוטלו כלל הפעולות אשר נעשו תוך שימוש ביפוי כח זה. </w:t>
      </w:r>
    </w:p>
    <w:p w:rsidR="00BF1ECB" w:rsidRDefault="00BF1ECB" w:rsidP="00BF1ECB">
      <w:pPr>
        <w:pStyle w:val="ae"/>
        <w:numPr>
          <w:ilvl w:val="0"/>
          <w:numId w:val="1"/>
        </w:numPr>
        <w:spacing w:line="360" w:lineRule="auto"/>
        <w:jc w:val="both"/>
        <w:rPr>
          <w:rFonts w:ascii="Arial" w:hAnsi="Arial"/>
          <w:b/>
          <w:bCs/>
          <w:noProof w:val="0"/>
        </w:rPr>
      </w:pPr>
      <w:r>
        <w:rPr>
          <w:rFonts w:ascii="Arial" w:hAnsi="Arial"/>
          <w:b/>
          <w:bCs/>
          <w:noProof w:val="0"/>
          <w:rtl/>
        </w:rPr>
        <w:t xml:space="preserve">אמת היא כי הגב' פלונית סימנה ביפוי הכח כי היא מבקשת שיפוי הכח ימשיך לעמוד בתוקפו גם אם היא תודיע על רצונה לבטלו אך בנסיבותיו המיוחדות של הענין, נוכח </w:t>
      </w:r>
      <w:r>
        <w:rPr>
          <w:rFonts w:ascii="Arial" w:hAnsi="Arial"/>
          <w:b/>
          <w:bCs/>
          <w:noProof w:val="0"/>
          <w:rtl/>
        </w:rPr>
        <w:lastRenderedPageBreak/>
        <w:t>משבר האמון הקיצוני בין הממנה והממונה סבורני כי אכן מתמלאים התנאים להורות על ביטולו של יפוי הכח המתמשך.</w:t>
      </w:r>
    </w:p>
    <w:p w:rsidR="00BF1ECB" w:rsidRDefault="00BF1ECB" w:rsidP="00BF1ECB">
      <w:pPr>
        <w:spacing w:line="360" w:lineRule="auto"/>
        <w:jc w:val="both"/>
        <w:rPr>
          <w:rFonts w:ascii="Arial" w:hAnsi="Arial"/>
          <w:b/>
          <w:bCs/>
          <w:noProof w:val="0"/>
          <w:rtl/>
        </w:rPr>
      </w:pPr>
    </w:p>
    <w:p w:rsidR="00BF1ECB" w:rsidRDefault="00BF1ECB" w:rsidP="00BF1ECB">
      <w:pPr>
        <w:pStyle w:val="ae"/>
        <w:numPr>
          <w:ilvl w:val="0"/>
          <w:numId w:val="1"/>
        </w:numPr>
        <w:spacing w:line="360" w:lineRule="auto"/>
        <w:jc w:val="both"/>
        <w:rPr>
          <w:rFonts w:ascii="Arial" w:hAnsi="Arial"/>
          <w:b/>
          <w:bCs/>
          <w:noProof w:val="0"/>
          <w:rtl/>
        </w:rPr>
      </w:pPr>
      <w:r>
        <w:rPr>
          <w:rFonts w:ascii="Arial" w:hAnsi="Arial"/>
          <w:b/>
          <w:bCs/>
          <w:noProof w:val="0"/>
          <w:rtl/>
        </w:rPr>
        <w:t xml:space="preserve">תביעת </w:t>
      </w:r>
      <w:r>
        <w:rPr>
          <w:rFonts w:ascii="Arial" w:hAnsi="Arial" w:hint="cs"/>
          <w:b/>
          <w:bCs/>
          <w:noProof w:val="0"/>
          <w:rtl/>
        </w:rPr>
        <w:t xml:space="preserve">גב' </w:t>
      </w:r>
      <w:r>
        <w:rPr>
          <w:rFonts w:ascii="Arial" w:hAnsi="Arial"/>
          <w:b/>
          <w:bCs/>
          <w:noProof w:val="0"/>
          <w:rtl/>
        </w:rPr>
        <w:t>אלמוני</w:t>
      </w:r>
      <w:r>
        <w:rPr>
          <w:rFonts w:ascii="Arial" w:hAnsi="Arial" w:hint="cs"/>
          <w:b/>
          <w:bCs/>
          <w:noProof w:val="0"/>
          <w:rtl/>
        </w:rPr>
        <w:t>ת</w:t>
      </w:r>
      <w:r>
        <w:rPr>
          <w:rFonts w:ascii="Arial" w:hAnsi="Arial"/>
          <w:b/>
          <w:bCs/>
          <w:noProof w:val="0"/>
          <w:rtl/>
        </w:rPr>
        <w:t xml:space="preserve"> להתמנות כאפוטרופוס לגב' פלונית על כל רכיביה - נדחית.</w:t>
      </w:r>
    </w:p>
    <w:p w:rsidR="00BF1ECB" w:rsidRDefault="00BF1ECB" w:rsidP="00BF1ECB">
      <w:pPr>
        <w:spacing w:line="360" w:lineRule="auto"/>
        <w:jc w:val="both"/>
        <w:rPr>
          <w:rFonts w:ascii="Arial" w:hAnsi="Arial"/>
          <w:noProof w:val="0"/>
          <w:rtl/>
        </w:rPr>
      </w:pPr>
    </w:p>
    <w:p w:rsidR="00BF1ECB" w:rsidRDefault="00BF1ECB" w:rsidP="00BF1ECB">
      <w:pPr>
        <w:pStyle w:val="ae"/>
        <w:numPr>
          <w:ilvl w:val="0"/>
          <w:numId w:val="1"/>
        </w:numPr>
        <w:spacing w:line="360" w:lineRule="auto"/>
        <w:jc w:val="both"/>
        <w:rPr>
          <w:rFonts w:ascii="Arial" w:hAnsi="Arial"/>
          <w:noProof w:val="0"/>
          <w:rtl/>
        </w:rPr>
      </w:pPr>
      <w:r>
        <w:rPr>
          <w:rFonts w:ascii="Arial" w:hAnsi="Arial"/>
          <w:noProof w:val="0"/>
          <w:rtl/>
        </w:rPr>
        <w:t>בהעדר עמדה מוסכמת בענין התביעה להשבת כספים בתמ"ש  32001-02-23 אין מנוס מבירור התביעה.</w:t>
      </w:r>
    </w:p>
    <w:p w:rsidR="00BF1ECB" w:rsidRDefault="00BF1ECB" w:rsidP="00BF1ECB">
      <w:pPr>
        <w:pStyle w:val="ae"/>
        <w:rPr>
          <w:rFonts w:ascii="Arial" w:hAnsi="Arial"/>
          <w:noProof w:val="0"/>
        </w:rPr>
      </w:pPr>
    </w:p>
    <w:p w:rsidR="00BF1ECB" w:rsidRDefault="00BF1ECB" w:rsidP="00BF1ECB">
      <w:pPr>
        <w:spacing w:line="360" w:lineRule="auto"/>
        <w:ind w:left="720" w:hanging="720"/>
        <w:jc w:val="both"/>
        <w:rPr>
          <w:rFonts w:ascii="Arial" w:hAnsi="Arial"/>
          <w:noProof w:val="0"/>
          <w:rtl/>
        </w:rPr>
      </w:pPr>
      <w:r>
        <w:rPr>
          <w:rFonts w:ascii="Arial" w:hAnsi="Arial"/>
          <w:noProof w:val="0"/>
          <w:rtl/>
        </w:rPr>
        <w:t>17.</w:t>
      </w:r>
      <w:r>
        <w:rPr>
          <w:rFonts w:ascii="Arial" w:hAnsi="Arial"/>
          <w:noProof w:val="0"/>
          <w:rtl/>
        </w:rPr>
        <w:tab/>
        <w:t>נוכח העובדה שהונחו בפני בית המשפט שלוש חוות דעת שתומכות בעמדתה של הגב' פלונית כי היא כשירה לנהל את עניינה כאשר בתה וחתנה כופרים בחוות דעת אלו, ומאלצים את הגב' פלונית לעמוד בפני ביהמ"ש ולנסות לשכנע את סביבתה ואת היושבת בדין כי אין לצמצם את זכויותיה הבסיסיות כאישה, כאדם ולפעול בעצמה, עבור עצמה. סבורני כי לא ניתן להורות על סיום ההליכים מבלי לחייב את ה"ה אלמונים בהוצאות.</w:t>
      </w:r>
    </w:p>
    <w:p w:rsidR="00BF1ECB" w:rsidRDefault="00BF1ECB" w:rsidP="00BF1ECB">
      <w:pPr>
        <w:spacing w:line="360" w:lineRule="auto"/>
        <w:jc w:val="both"/>
        <w:rPr>
          <w:rFonts w:ascii="Arial" w:hAnsi="Arial"/>
          <w:noProof w:val="0"/>
          <w:rtl/>
        </w:rPr>
      </w:pPr>
    </w:p>
    <w:p w:rsidR="00BF1ECB" w:rsidRDefault="00BF1ECB" w:rsidP="00BF1ECB">
      <w:pPr>
        <w:spacing w:line="360" w:lineRule="auto"/>
        <w:ind w:left="720" w:hanging="720"/>
        <w:jc w:val="both"/>
        <w:rPr>
          <w:rFonts w:ascii="Arial" w:hAnsi="Arial"/>
          <w:noProof w:val="0"/>
          <w:rtl/>
        </w:rPr>
      </w:pPr>
      <w:r>
        <w:rPr>
          <w:rFonts w:ascii="Arial" w:hAnsi="Arial"/>
          <w:noProof w:val="0"/>
          <w:rtl/>
        </w:rPr>
        <w:t>18.</w:t>
      </w:r>
      <w:r>
        <w:rPr>
          <w:rFonts w:ascii="Arial" w:hAnsi="Arial"/>
          <w:noProof w:val="0"/>
          <w:rtl/>
        </w:rPr>
        <w:tab/>
        <w:t xml:space="preserve">ראשית, ה"ה אלמונים ישלמו את מחצית עלות חוות הדעת אשר שולמה ע"י הגב' פלונית, ובסה"כ ישאו בעצמם במלוא עלות חוות הדעת בסכום של 5,850 ₪ (את המחצית שילמו ישירות למומחה). בנוסף, ישלמו לגב' פלונית את הוצאות ההליכים בא"פ 50014-12-22 ובא"פ 49617-12-22 וזאת בסך 30,000 ₪ בתוך 30 ימים כשהסכום נושא הפרשי הצמדה וריבית עד מועד התשלום בפועל.  </w:t>
      </w:r>
    </w:p>
    <w:p w:rsidR="00BF1ECB" w:rsidRDefault="00BF1ECB" w:rsidP="00BF1ECB">
      <w:pPr>
        <w:spacing w:line="360" w:lineRule="auto"/>
        <w:ind w:left="720" w:hanging="720"/>
        <w:jc w:val="both"/>
        <w:rPr>
          <w:rFonts w:ascii="Arial" w:hAnsi="Arial"/>
          <w:noProof w:val="0"/>
          <w:rtl/>
        </w:rPr>
      </w:pPr>
    </w:p>
    <w:p w:rsidR="00BF1ECB" w:rsidRDefault="00BF1ECB" w:rsidP="00BF1ECB">
      <w:pPr>
        <w:spacing w:line="360" w:lineRule="auto"/>
        <w:ind w:left="720" w:hanging="720"/>
        <w:jc w:val="both"/>
        <w:rPr>
          <w:rFonts w:ascii="Arial" w:hAnsi="Arial"/>
          <w:noProof w:val="0"/>
          <w:rtl/>
        </w:rPr>
      </w:pPr>
      <w:r>
        <w:rPr>
          <w:rFonts w:ascii="Arial" w:hAnsi="Arial"/>
          <w:noProof w:val="0"/>
          <w:rtl/>
        </w:rPr>
        <w:tab/>
        <w:t>סכום זה כולל את השבת שכה"ט ששולם ע"י הגב' פלונית לצורך ייצוג בתיק זה (צורפו אסמכתאות) וכן את רכיב ההוצאות הנוספות שנגרמו לגב' פלונית כתוצאה מניהול ההליך.</w:t>
      </w:r>
    </w:p>
    <w:p w:rsidR="00BF1ECB" w:rsidRDefault="00BF1ECB" w:rsidP="00BF1ECB">
      <w:pPr>
        <w:spacing w:line="360" w:lineRule="auto"/>
        <w:ind w:left="720" w:hanging="720"/>
        <w:jc w:val="both"/>
        <w:rPr>
          <w:rFonts w:ascii="Arial" w:hAnsi="Arial"/>
          <w:noProof w:val="0"/>
          <w:rtl/>
        </w:rPr>
      </w:pPr>
      <w:r>
        <w:rPr>
          <w:rFonts w:ascii="Arial" w:hAnsi="Arial"/>
          <w:noProof w:val="0"/>
          <w:rtl/>
        </w:rPr>
        <w:tab/>
        <w:t>לפנים משורת הדין לא אחייב את ה"ה אלמונים בהוצאות לטובת קופת אוצר המדינה וזאת הגם בזבוז משאבי הקופה הציבורית בשים לב לזמנן היקר של עו"ס לס"ד, חברי וועדת בדיקה ודיון בנוכחות ב"כ היועמ"ש.</w:t>
      </w:r>
    </w:p>
    <w:p w:rsidR="00BF1ECB" w:rsidRDefault="00BF1ECB" w:rsidP="00BF1ECB">
      <w:pPr>
        <w:spacing w:line="360" w:lineRule="auto"/>
        <w:jc w:val="both"/>
        <w:rPr>
          <w:rFonts w:ascii="Arial" w:hAnsi="Arial"/>
          <w:noProof w:val="0"/>
          <w:rtl/>
        </w:rPr>
      </w:pPr>
    </w:p>
    <w:p w:rsidR="00BF1ECB" w:rsidRDefault="00BF1ECB" w:rsidP="00BF1ECB">
      <w:pPr>
        <w:spacing w:line="360" w:lineRule="auto"/>
        <w:jc w:val="both"/>
        <w:rPr>
          <w:rFonts w:ascii="Arial" w:hAnsi="Arial"/>
          <w:b/>
          <w:bCs/>
          <w:noProof w:val="0"/>
          <w:rtl/>
        </w:rPr>
      </w:pPr>
      <w:r>
        <w:rPr>
          <w:rFonts w:ascii="Arial" w:hAnsi="Arial"/>
          <w:b/>
          <w:bCs/>
          <w:noProof w:val="0"/>
          <w:rtl/>
        </w:rPr>
        <w:t>19.</w:t>
      </w:r>
      <w:r>
        <w:rPr>
          <w:rFonts w:ascii="Arial" w:hAnsi="Arial"/>
          <w:b/>
          <w:bCs/>
          <w:noProof w:val="0"/>
          <w:rtl/>
        </w:rPr>
        <w:tab/>
        <w:t>המזכירות תשלח ההחלטה לצדדים ותסגור את א"פ 50014-12-22 ובא"פ 49617-12-22.</w:t>
      </w:r>
    </w:p>
    <w:p w:rsidR="00BF1ECB" w:rsidRDefault="00BF1ECB" w:rsidP="00BF1ECB">
      <w:pPr>
        <w:spacing w:line="360" w:lineRule="auto"/>
        <w:jc w:val="both"/>
        <w:rPr>
          <w:rFonts w:ascii="Arial" w:hAnsi="Arial"/>
          <w:b/>
          <w:bCs/>
          <w:noProof w:val="0"/>
          <w:rtl/>
        </w:rPr>
      </w:pPr>
    </w:p>
    <w:p w:rsidR="00BF1ECB" w:rsidRDefault="00BF1ECB" w:rsidP="00BF1ECB">
      <w:pPr>
        <w:spacing w:line="360" w:lineRule="auto"/>
        <w:ind w:left="720" w:hanging="720"/>
        <w:jc w:val="both"/>
        <w:rPr>
          <w:rFonts w:ascii="Arial" w:hAnsi="Arial"/>
          <w:b/>
          <w:bCs/>
          <w:noProof w:val="0"/>
          <w:rtl/>
        </w:rPr>
      </w:pPr>
      <w:r>
        <w:rPr>
          <w:rFonts w:ascii="Arial" w:hAnsi="Arial"/>
          <w:b/>
          <w:bCs/>
          <w:noProof w:val="0"/>
          <w:rtl/>
        </w:rPr>
        <w:t>20.</w:t>
      </w:r>
      <w:r>
        <w:rPr>
          <w:rFonts w:ascii="Arial" w:hAnsi="Arial"/>
          <w:b/>
          <w:bCs/>
          <w:noProof w:val="0"/>
          <w:rtl/>
        </w:rPr>
        <w:tab/>
        <w:t xml:space="preserve">בתיק תמ"ש 32001-02-23 סבורני כי ראוי שהצדדים יפנו להליך גישור, ככל שיש הסכמה לפנות להליך גישור, יקבע בית המשפט את זהות המגשר. </w:t>
      </w:r>
    </w:p>
    <w:p w:rsidR="00BF1ECB" w:rsidRDefault="00BF1ECB" w:rsidP="00BF1ECB">
      <w:pPr>
        <w:spacing w:line="360" w:lineRule="auto"/>
        <w:jc w:val="both"/>
        <w:rPr>
          <w:rFonts w:ascii="Arial" w:hAnsi="Arial"/>
          <w:b/>
          <w:bCs/>
          <w:noProof w:val="0"/>
          <w:rtl/>
        </w:rPr>
      </w:pPr>
    </w:p>
    <w:p w:rsidR="00BF1ECB" w:rsidRDefault="00BF1ECB" w:rsidP="00BF1ECB">
      <w:pPr>
        <w:spacing w:line="360" w:lineRule="auto"/>
        <w:ind w:left="720" w:hanging="720"/>
        <w:jc w:val="both"/>
        <w:rPr>
          <w:rFonts w:ascii="Arial" w:hAnsi="Arial"/>
          <w:b/>
          <w:bCs/>
          <w:noProof w:val="0"/>
          <w:rtl/>
        </w:rPr>
      </w:pPr>
      <w:r>
        <w:rPr>
          <w:rFonts w:ascii="Arial" w:hAnsi="Arial"/>
          <w:b/>
          <w:bCs/>
          <w:noProof w:val="0"/>
          <w:rtl/>
        </w:rPr>
        <w:lastRenderedPageBreak/>
        <w:t>21.</w:t>
      </w:r>
      <w:r>
        <w:rPr>
          <w:rFonts w:ascii="Arial" w:hAnsi="Arial"/>
          <w:b/>
          <w:bCs/>
          <w:noProof w:val="0"/>
          <w:rtl/>
        </w:rPr>
        <w:tab/>
        <w:t xml:space="preserve">באי כח הצדדים בתיק תמ"ש  32001-02-23 יודיעו בתוך 7 ימים עמדתם ביחס לאפשרות לפנות להליך גישור.  </w:t>
      </w:r>
    </w:p>
    <w:p w:rsidR="00BF1ECB" w:rsidRDefault="00BF1ECB" w:rsidP="00BF1ECB">
      <w:pPr>
        <w:spacing w:line="360" w:lineRule="auto"/>
        <w:jc w:val="both"/>
        <w:rPr>
          <w:rFonts w:ascii="Arial" w:hAnsi="Arial"/>
          <w:noProof w:val="0"/>
          <w:rtl/>
        </w:rPr>
      </w:pPr>
    </w:p>
    <w:p w:rsidR="00BF1ECB" w:rsidRDefault="00BF1ECB" w:rsidP="00BF1ECB">
      <w:pPr>
        <w:spacing w:line="360" w:lineRule="auto"/>
        <w:ind w:left="720" w:hanging="720"/>
        <w:jc w:val="both"/>
        <w:rPr>
          <w:rFonts w:ascii="Arial" w:hAnsi="Arial"/>
          <w:noProof w:val="0"/>
          <w:rtl/>
        </w:rPr>
      </w:pPr>
      <w:r>
        <w:rPr>
          <w:rFonts w:ascii="Arial" w:hAnsi="Arial"/>
          <w:noProof w:val="0"/>
          <w:rtl/>
        </w:rPr>
        <w:t>22.</w:t>
      </w:r>
      <w:r>
        <w:rPr>
          <w:rFonts w:ascii="Arial" w:hAnsi="Arial"/>
          <w:noProof w:val="0"/>
          <w:rtl/>
        </w:rPr>
        <w:tab/>
        <w:t xml:space="preserve">לבקשת עו"ד דביר, אני מתירה פרסום ההחלטה והשמטת פרטים מזהים. נוסח מתאים יועבר באמצעות דוברות בתי המשפט למאגרי פסיקה. </w:t>
      </w:r>
      <w:r>
        <w:rPr>
          <w:rFonts w:ascii="Arial" w:hAnsi="Arial"/>
          <w:noProof w:val="0"/>
          <w:rtl/>
        </w:rPr>
        <w:tab/>
      </w:r>
    </w:p>
    <w:p w:rsidR="00BF1ECB" w:rsidRDefault="00BF1ECB" w:rsidP="00BF1ECB">
      <w:pPr>
        <w:spacing w:line="360" w:lineRule="auto"/>
        <w:jc w:val="both"/>
        <w:rPr>
          <w:rFonts w:ascii="Arial" w:hAnsi="Arial"/>
          <w:noProof w:val="0"/>
          <w:rtl/>
        </w:rPr>
      </w:pPr>
    </w:p>
    <w:p w:rsidR="00BF1ECB" w:rsidRDefault="00BF1ECB" w:rsidP="00BF1ECB">
      <w:pPr>
        <w:spacing w:line="360" w:lineRule="auto"/>
        <w:jc w:val="both"/>
        <w:rPr>
          <w:rFonts w:ascii="Arial" w:hAnsi="Arial"/>
          <w:noProof w:val="0"/>
          <w:rtl/>
        </w:rPr>
      </w:pPr>
      <w:r>
        <w:rPr>
          <w:rFonts w:ascii="Arial" w:hAnsi="Arial"/>
          <w:noProof w:val="0"/>
          <w:rtl/>
        </w:rPr>
        <w:t>ניתנה היום, ג' סיוון תשפ"ג, 23 מאי 2023, בהעדר הצדדים.</w:t>
      </w:r>
    </w:p>
    <w:p w:rsidR="00694556" w:rsidRDefault="00694556">
      <w:pPr>
        <w:spacing w:line="360" w:lineRule="auto"/>
        <w:jc w:val="both"/>
        <w:rPr>
          <w:rFonts w:ascii="Arial" w:hAnsi="Arial"/>
          <w:noProof w:val="0"/>
          <w:rtl/>
        </w:rPr>
      </w:pPr>
    </w:p>
    <w:p w:rsidR="00C43648" w:rsidRDefault="00112A43"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900323369"/>
        </w:sdtPr>
        <w:sdtEndPr/>
        <w:sdtContent>
          <w:r w:rsidR="00EE2C91">
            <w:drawing>
              <wp:inline distT="0" distB="0" distL="0" distR="0" wp14:editId="50D07946">
                <wp:extent cx="2362200" cy="4762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362200" cy="476249"/>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9"/>
      <w:headerReference w:type="default" r:id="rId10"/>
      <w:footerReference w:type="even" r:id="rId11"/>
      <w:footerReference w:type="default" r:id="rId12"/>
      <w:headerReference w:type="first" r:id="rId13"/>
      <w:footerReference w:type="first" r:id="rId14"/>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2A43" w:rsidRDefault="00112A43">
      <w:r>
        <w:separator/>
      </w:r>
    </w:p>
  </w:endnote>
  <w:endnote w:type="continuationSeparator" w:id="0">
    <w:p w:rsidR="00112A43" w:rsidRDefault="00112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7C47" w:rsidRDefault="00437C47">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5"/>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146B1D">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146B1D">
      <w:rPr>
        <w:rStyle w:val="ac"/>
        <w:rtl/>
      </w:rPr>
      <w:t>6</w:t>
    </w:r>
    <w:r w:rsidRPr="004E6E3C">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7C47" w:rsidRDefault="00437C4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2A43" w:rsidRDefault="00112A43">
      <w:r>
        <w:separator/>
      </w:r>
    </w:p>
  </w:footnote>
  <w:footnote w:type="continuationSeparator" w:id="0">
    <w:p w:rsidR="00112A43" w:rsidRDefault="00112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7C47" w:rsidRDefault="00437C4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1ECB" w:rsidRDefault="00BF1ECB" w:rsidP="00BF1ECB">
    <w:pPr>
      <w:pStyle w:val="a3"/>
      <w:jc w:val="center"/>
      <w:rPr>
        <w:rFonts w:cs="FrankRuehl"/>
        <w:noProof w:val="0"/>
        <w:sz w:val="28"/>
        <w:szCs w:val="28"/>
      </w:rPr>
    </w:pPr>
    <w:r>
      <w:rPr>
        <w:rFonts w:cs="FrankRuehl"/>
        <w:sz w:val="28"/>
        <w:szCs w:val="28"/>
      </w:rPr>
      <w:drawing>
        <wp:inline distT="0" distB="0" distL="0" distR="0">
          <wp:extent cx="371475" cy="466725"/>
          <wp:effectExtent l="0" t="0" r="9525" b="9525"/>
          <wp:docPr id="5" name="תמונה 5"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923"/>
      <w:gridCol w:w="3582"/>
    </w:tblGrid>
    <w:tr w:rsidR="00BF1ECB" w:rsidTr="00BF1ECB">
      <w:trPr>
        <w:trHeight w:val="704"/>
        <w:jc w:val="center"/>
      </w:trPr>
      <w:tc>
        <w:tcPr>
          <w:tcW w:w="8721" w:type="dxa"/>
          <w:gridSpan w:val="2"/>
          <w:hideMark/>
        </w:tcPr>
        <w:p w:rsidR="00BF1ECB" w:rsidRDefault="00BF1ECB" w:rsidP="00BF1ECB">
          <w:pPr>
            <w:pStyle w:val="a3"/>
            <w:jc w:val="center"/>
            <w:rPr>
              <w:rFonts w:ascii="Tahoma" w:hAnsi="Tahoma"/>
              <w:noProof w:val="0"/>
              <w:color w:val="000080"/>
              <w:sz w:val="32"/>
              <w:szCs w:val="32"/>
              <w:rtl/>
            </w:rPr>
          </w:pPr>
          <w:r>
            <w:rPr>
              <w:rFonts w:ascii="Tahoma" w:hAnsi="Tahoma"/>
              <w:color w:val="000080"/>
              <w:sz w:val="32"/>
              <w:szCs w:val="32"/>
              <w:rtl/>
            </w:rPr>
            <w:t>בית משפט לענייני משפחה בבאר שבע</w:t>
          </w:r>
        </w:p>
      </w:tc>
    </w:tr>
    <w:tr w:rsidR="00BF1ECB" w:rsidTr="00BF1ECB">
      <w:trPr>
        <w:trHeight w:val="337"/>
        <w:jc w:val="center"/>
      </w:trPr>
      <w:tc>
        <w:tcPr>
          <w:tcW w:w="5047" w:type="dxa"/>
        </w:tcPr>
        <w:p w:rsidR="00BF1ECB" w:rsidRDefault="00BF1ECB" w:rsidP="00BF1ECB">
          <w:pPr>
            <w:rPr>
              <w:b/>
              <w:bCs/>
              <w:noProof w:val="0"/>
              <w:sz w:val="26"/>
              <w:szCs w:val="26"/>
              <w:rtl/>
            </w:rPr>
          </w:pPr>
        </w:p>
      </w:tc>
      <w:tc>
        <w:tcPr>
          <w:tcW w:w="3674" w:type="dxa"/>
        </w:tcPr>
        <w:p w:rsidR="00BF1ECB" w:rsidRDefault="00BF1ECB" w:rsidP="00BF1ECB">
          <w:pPr>
            <w:pStyle w:val="a3"/>
            <w:jc w:val="right"/>
            <w:rPr>
              <w:b/>
              <w:bCs/>
              <w:noProof w:val="0"/>
              <w:sz w:val="26"/>
              <w:szCs w:val="26"/>
              <w:rtl/>
            </w:rPr>
          </w:pPr>
        </w:p>
      </w:tc>
    </w:tr>
    <w:tr w:rsidR="00BF1ECB" w:rsidTr="00BF1ECB">
      <w:trPr>
        <w:trHeight w:val="337"/>
        <w:jc w:val="center"/>
      </w:trPr>
      <w:tc>
        <w:tcPr>
          <w:tcW w:w="8721" w:type="dxa"/>
          <w:gridSpan w:val="2"/>
        </w:tcPr>
        <w:p w:rsidR="00BF1ECB" w:rsidRDefault="00BF1ECB" w:rsidP="00BF1ECB">
          <w:pPr>
            <w:rPr>
              <w:b/>
              <w:bCs/>
              <w:noProof w:val="0"/>
              <w:sz w:val="26"/>
              <w:szCs w:val="26"/>
              <w:rtl/>
            </w:rPr>
          </w:pPr>
          <w:r>
            <w:rPr>
              <w:b/>
              <w:bCs/>
              <w:noProof w:val="0"/>
              <w:sz w:val="26"/>
              <w:szCs w:val="26"/>
              <w:rtl/>
            </w:rPr>
            <w:t xml:space="preserve">א"פ     </w:t>
          </w:r>
          <w:bookmarkStart w:id="1" w:name="_GoBack"/>
          <w:r>
            <w:rPr>
              <w:b/>
              <w:bCs/>
              <w:noProof w:val="0"/>
              <w:sz w:val="26"/>
              <w:szCs w:val="26"/>
              <w:rtl/>
            </w:rPr>
            <w:t xml:space="preserve">50014-12-22 </w:t>
          </w:r>
          <w:bookmarkEnd w:id="1"/>
          <w:r>
            <w:rPr>
              <w:b/>
              <w:bCs/>
              <w:noProof w:val="0"/>
              <w:sz w:val="26"/>
              <w:szCs w:val="26"/>
              <w:rtl/>
            </w:rPr>
            <w:t>אלמונית נ' פלונית ואח'</w:t>
          </w:r>
        </w:p>
        <w:p w:rsidR="00BF1ECB" w:rsidRDefault="00BF1ECB" w:rsidP="00BF1ECB">
          <w:pPr>
            <w:rPr>
              <w:b/>
              <w:bCs/>
              <w:noProof w:val="0"/>
              <w:sz w:val="26"/>
              <w:szCs w:val="26"/>
              <w:rtl/>
            </w:rPr>
          </w:pPr>
          <w:r>
            <w:rPr>
              <w:b/>
              <w:bCs/>
              <w:noProof w:val="0"/>
              <w:sz w:val="26"/>
              <w:szCs w:val="26"/>
              <w:rtl/>
            </w:rPr>
            <w:t>א"פ     49617-12-22 פלונית נ' אלמונית ואח'</w:t>
          </w:r>
        </w:p>
        <w:p w:rsidR="00BF1ECB" w:rsidRDefault="00BF1ECB" w:rsidP="00BF1ECB">
          <w:pPr>
            <w:rPr>
              <w:b/>
              <w:bCs/>
              <w:noProof w:val="0"/>
              <w:sz w:val="26"/>
              <w:szCs w:val="26"/>
              <w:rtl/>
            </w:rPr>
          </w:pPr>
          <w:r>
            <w:rPr>
              <w:b/>
              <w:bCs/>
              <w:noProof w:val="0"/>
              <w:sz w:val="26"/>
              <w:szCs w:val="26"/>
              <w:rtl/>
            </w:rPr>
            <w:t>תמ"ש 32001-02-23 פלונית נ' אלמונית ואח'</w:t>
          </w:r>
        </w:p>
        <w:p w:rsidR="00BF1ECB" w:rsidRDefault="00BF1ECB" w:rsidP="00BF1ECB">
          <w:pPr>
            <w:rPr>
              <w:b/>
              <w:bCs/>
              <w:noProof w:val="0"/>
              <w:sz w:val="2"/>
              <w:szCs w:val="2"/>
              <w:rtl/>
            </w:rPr>
          </w:pPr>
        </w:p>
        <w:p w:rsidR="00BF1ECB" w:rsidRDefault="00BF1ECB" w:rsidP="00BF1ECB">
          <w:pPr>
            <w:rPr>
              <w:sz w:val="20"/>
              <w:szCs w:val="20"/>
              <w:rtl/>
            </w:rPr>
          </w:pPr>
          <w:r>
            <w:rPr>
              <w:rtl/>
            </w:rPr>
            <w:t xml:space="preserve">                           </w:t>
          </w:r>
          <w:r>
            <w:rPr>
              <w:sz w:val="20"/>
              <w:szCs w:val="20"/>
              <w:rtl/>
            </w:rPr>
            <w:t xml:space="preserve">                                       </w:t>
          </w:r>
        </w:p>
        <w:p w:rsidR="00BF1ECB" w:rsidRDefault="00BF1ECB" w:rsidP="00BF1ECB">
          <w:pPr>
            <w:rPr>
              <w:sz w:val="20"/>
              <w:szCs w:val="20"/>
              <w:rtl/>
            </w:rPr>
          </w:pPr>
          <w:r>
            <w:rPr>
              <w:sz w:val="20"/>
              <w:szCs w:val="20"/>
              <w:rtl/>
            </w:rPr>
            <w:t xml:space="preserve">תיק חיצוני: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7C47" w:rsidRDefault="00437C4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5A2F74"/>
    <w:multiLevelType w:val="hybridMultilevel"/>
    <w:tmpl w:val="01FC795C"/>
    <w:lvl w:ilvl="0" w:tplc="863E6AE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700718A1"/>
    <w:multiLevelType w:val="hybridMultilevel"/>
    <w:tmpl w:val="FCF83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4E07"/>
    <w:rsid w:val="00005C8B"/>
    <w:rsid w:val="00012C80"/>
    <w:rsid w:val="00017792"/>
    <w:rsid w:val="000229A1"/>
    <w:rsid w:val="0002621A"/>
    <w:rsid w:val="00040156"/>
    <w:rsid w:val="00040211"/>
    <w:rsid w:val="00040800"/>
    <w:rsid w:val="000529D2"/>
    <w:rsid w:val="000564AB"/>
    <w:rsid w:val="00064FBD"/>
    <w:rsid w:val="00074488"/>
    <w:rsid w:val="0007578B"/>
    <w:rsid w:val="00082AB2"/>
    <w:rsid w:val="0008410F"/>
    <w:rsid w:val="000906FE"/>
    <w:rsid w:val="00096AF7"/>
    <w:rsid w:val="000B344B"/>
    <w:rsid w:val="000C3B0F"/>
    <w:rsid w:val="000C3B60"/>
    <w:rsid w:val="000D37F0"/>
    <w:rsid w:val="000E0B11"/>
    <w:rsid w:val="000E0DD2"/>
    <w:rsid w:val="000E3AF1"/>
    <w:rsid w:val="000F0BC8"/>
    <w:rsid w:val="000F0DD6"/>
    <w:rsid w:val="00105ED3"/>
    <w:rsid w:val="001066CA"/>
    <w:rsid w:val="00106AD0"/>
    <w:rsid w:val="00107E6D"/>
    <w:rsid w:val="00110D3F"/>
    <w:rsid w:val="0011194C"/>
    <w:rsid w:val="00112A43"/>
    <w:rsid w:val="0011424C"/>
    <w:rsid w:val="001173C6"/>
    <w:rsid w:val="00127424"/>
    <w:rsid w:val="001367BC"/>
    <w:rsid w:val="001378E4"/>
    <w:rsid w:val="00144D2A"/>
    <w:rsid w:val="0014653E"/>
    <w:rsid w:val="00146B1D"/>
    <w:rsid w:val="00147A0D"/>
    <w:rsid w:val="00155D62"/>
    <w:rsid w:val="00157386"/>
    <w:rsid w:val="001674B1"/>
    <w:rsid w:val="00180519"/>
    <w:rsid w:val="00191C82"/>
    <w:rsid w:val="001A402A"/>
    <w:rsid w:val="001A5645"/>
    <w:rsid w:val="001C4003"/>
    <w:rsid w:val="001C5348"/>
    <w:rsid w:val="001D4DBF"/>
    <w:rsid w:val="001E75CA"/>
    <w:rsid w:val="001F5748"/>
    <w:rsid w:val="002110CF"/>
    <w:rsid w:val="002265FF"/>
    <w:rsid w:val="00234381"/>
    <w:rsid w:val="00234943"/>
    <w:rsid w:val="0025262D"/>
    <w:rsid w:val="002662C4"/>
    <w:rsid w:val="00271A8F"/>
    <w:rsid w:val="00271B56"/>
    <w:rsid w:val="002A0EC3"/>
    <w:rsid w:val="002A650D"/>
    <w:rsid w:val="002B0A2F"/>
    <w:rsid w:val="002B5AFC"/>
    <w:rsid w:val="002B6F3F"/>
    <w:rsid w:val="002C344E"/>
    <w:rsid w:val="002C3F4A"/>
    <w:rsid w:val="002C49C4"/>
    <w:rsid w:val="002D5DEC"/>
    <w:rsid w:val="002E5CD0"/>
    <w:rsid w:val="002E6618"/>
    <w:rsid w:val="002E75E9"/>
    <w:rsid w:val="003038CA"/>
    <w:rsid w:val="003051F9"/>
    <w:rsid w:val="00307A6A"/>
    <w:rsid w:val="00307C40"/>
    <w:rsid w:val="00307E7F"/>
    <w:rsid w:val="0031565A"/>
    <w:rsid w:val="00320433"/>
    <w:rsid w:val="003230C7"/>
    <w:rsid w:val="00323660"/>
    <w:rsid w:val="00327E50"/>
    <w:rsid w:val="00332487"/>
    <w:rsid w:val="0033597A"/>
    <w:rsid w:val="00336DD5"/>
    <w:rsid w:val="00343D89"/>
    <w:rsid w:val="00352DC5"/>
    <w:rsid w:val="00362612"/>
    <w:rsid w:val="0036743F"/>
    <w:rsid w:val="003715DD"/>
    <w:rsid w:val="003823E0"/>
    <w:rsid w:val="003A4521"/>
    <w:rsid w:val="003C018D"/>
    <w:rsid w:val="003C4E3D"/>
    <w:rsid w:val="003C7B98"/>
    <w:rsid w:val="003D1C8C"/>
    <w:rsid w:val="003E729F"/>
    <w:rsid w:val="003F40DE"/>
    <w:rsid w:val="003F6DB9"/>
    <w:rsid w:val="0040096C"/>
    <w:rsid w:val="00400A31"/>
    <w:rsid w:val="00401D9B"/>
    <w:rsid w:val="00407AFF"/>
    <w:rsid w:val="00414F1F"/>
    <w:rsid w:val="00422A74"/>
    <w:rsid w:val="0042627F"/>
    <w:rsid w:val="00427FDA"/>
    <w:rsid w:val="0043125D"/>
    <w:rsid w:val="0043502B"/>
    <w:rsid w:val="00437C47"/>
    <w:rsid w:val="00442828"/>
    <w:rsid w:val="004443AC"/>
    <w:rsid w:val="00444B02"/>
    <w:rsid w:val="00451E28"/>
    <w:rsid w:val="00462C62"/>
    <w:rsid w:val="00463345"/>
    <w:rsid w:val="00465D36"/>
    <w:rsid w:val="00475FDF"/>
    <w:rsid w:val="004776A2"/>
    <w:rsid w:val="00486BD4"/>
    <w:rsid w:val="00497B2A"/>
    <w:rsid w:val="004C17EE"/>
    <w:rsid w:val="004C3A14"/>
    <w:rsid w:val="004C4BDF"/>
    <w:rsid w:val="004C5DD3"/>
    <w:rsid w:val="004D1187"/>
    <w:rsid w:val="004D3AA0"/>
    <w:rsid w:val="004D663D"/>
    <w:rsid w:val="004E1987"/>
    <w:rsid w:val="004E2E15"/>
    <w:rsid w:val="004E6E3C"/>
    <w:rsid w:val="004E70D1"/>
    <w:rsid w:val="004E724A"/>
    <w:rsid w:val="004E72E2"/>
    <w:rsid w:val="004F3F8C"/>
    <w:rsid w:val="00500804"/>
    <w:rsid w:val="005074C9"/>
    <w:rsid w:val="00517509"/>
    <w:rsid w:val="00520898"/>
    <w:rsid w:val="00523621"/>
    <w:rsid w:val="00524986"/>
    <w:rsid w:val="005268F6"/>
    <w:rsid w:val="00527B0A"/>
    <w:rsid w:val="00534284"/>
    <w:rsid w:val="00534D4C"/>
    <w:rsid w:val="0053689E"/>
    <w:rsid w:val="00547DB7"/>
    <w:rsid w:val="00570505"/>
    <w:rsid w:val="00586163"/>
    <w:rsid w:val="005B3203"/>
    <w:rsid w:val="005B3CF6"/>
    <w:rsid w:val="005C17D3"/>
    <w:rsid w:val="005F4F09"/>
    <w:rsid w:val="0061431B"/>
    <w:rsid w:val="0062001B"/>
    <w:rsid w:val="00622BAA"/>
    <w:rsid w:val="0062449C"/>
    <w:rsid w:val="006306CF"/>
    <w:rsid w:val="00632145"/>
    <w:rsid w:val="00633EAD"/>
    <w:rsid w:val="00644E9A"/>
    <w:rsid w:val="00671BD5"/>
    <w:rsid w:val="006805C1"/>
    <w:rsid w:val="00686C21"/>
    <w:rsid w:val="00690A5F"/>
    <w:rsid w:val="00692AF0"/>
    <w:rsid w:val="006931C1"/>
    <w:rsid w:val="00693501"/>
    <w:rsid w:val="00694556"/>
    <w:rsid w:val="006A0DB2"/>
    <w:rsid w:val="006B35D6"/>
    <w:rsid w:val="006C011B"/>
    <w:rsid w:val="006C30C5"/>
    <w:rsid w:val="006C4820"/>
    <w:rsid w:val="006D3B31"/>
    <w:rsid w:val="006E0D96"/>
    <w:rsid w:val="006E1A53"/>
    <w:rsid w:val="006E2203"/>
    <w:rsid w:val="006E556F"/>
    <w:rsid w:val="006F2FF8"/>
    <w:rsid w:val="006F56E6"/>
    <w:rsid w:val="006F7616"/>
    <w:rsid w:val="00704EDA"/>
    <w:rsid w:val="0070793E"/>
    <w:rsid w:val="007167C2"/>
    <w:rsid w:val="0071718C"/>
    <w:rsid w:val="00721122"/>
    <w:rsid w:val="0073288A"/>
    <w:rsid w:val="00743C77"/>
    <w:rsid w:val="0074756C"/>
    <w:rsid w:val="00753019"/>
    <w:rsid w:val="00753429"/>
    <w:rsid w:val="00754801"/>
    <w:rsid w:val="00755E64"/>
    <w:rsid w:val="00761441"/>
    <w:rsid w:val="0076205F"/>
    <w:rsid w:val="007624A5"/>
    <w:rsid w:val="007667C9"/>
    <w:rsid w:val="00770986"/>
    <w:rsid w:val="0077349F"/>
    <w:rsid w:val="00784354"/>
    <w:rsid w:val="007916A4"/>
    <w:rsid w:val="00795365"/>
    <w:rsid w:val="007A1DA4"/>
    <w:rsid w:val="007A351D"/>
    <w:rsid w:val="007B1FB4"/>
    <w:rsid w:val="007B7765"/>
    <w:rsid w:val="007C5BDD"/>
    <w:rsid w:val="007D02FE"/>
    <w:rsid w:val="007D2FB4"/>
    <w:rsid w:val="007D45E3"/>
    <w:rsid w:val="007E6115"/>
    <w:rsid w:val="007F4609"/>
    <w:rsid w:val="008130D0"/>
    <w:rsid w:val="00814468"/>
    <w:rsid w:val="008176A1"/>
    <w:rsid w:val="00820005"/>
    <w:rsid w:val="00832DE9"/>
    <w:rsid w:val="00842F1C"/>
    <w:rsid w:val="00844318"/>
    <w:rsid w:val="0086061C"/>
    <w:rsid w:val="00863F5D"/>
    <w:rsid w:val="00870890"/>
    <w:rsid w:val="00873602"/>
    <w:rsid w:val="00875A29"/>
    <w:rsid w:val="00875D12"/>
    <w:rsid w:val="008800A5"/>
    <w:rsid w:val="00880240"/>
    <w:rsid w:val="00881CCE"/>
    <w:rsid w:val="0088479D"/>
    <w:rsid w:val="00893144"/>
    <w:rsid w:val="00896889"/>
    <w:rsid w:val="00897DAF"/>
    <w:rsid w:val="008B0767"/>
    <w:rsid w:val="008B75A3"/>
    <w:rsid w:val="008C4907"/>
    <w:rsid w:val="008C5714"/>
    <w:rsid w:val="008D10B2"/>
    <w:rsid w:val="008F04F0"/>
    <w:rsid w:val="008F42ED"/>
    <w:rsid w:val="008F43EF"/>
    <w:rsid w:val="00903896"/>
    <w:rsid w:val="00906102"/>
    <w:rsid w:val="00906F3D"/>
    <w:rsid w:val="0091456E"/>
    <w:rsid w:val="00915874"/>
    <w:rsid w:val="00916A1D"/>
    <w:rsid w:val="00920C33"/>
    <w:rsid w:val="00940E04"/>
    <w:rsid w:val="00941E94"/>
    <w:rsid w:val="009421D0"/>
    <w:rsid w:val="0094424E"/>
    <w:rsid w:val="0094779E"/>
    <w:rsid w:val="00955642"/>
    <w:rsid w:val="00957329"/>
    <w:rsid w:val="009622DF"/>
    <w:rsid w:val="0096493F"/>
    <w:rsid w:val="00967DFF"/>
    <w:rsid w:val="0098409C"/>
    <w:rsid w:val="00992C66"/>
    <w:rsid w:val="00994341"/>
    <w:rsid w:val="00996935"/>
    <w:rsid w:val="009C55A4"/>
    <w:rsid w:val="009D1A48"/>
    <w:rsid w:val="009E1CE7"/>
    <w:rsid w:val="009E4EA5"/>
    <w:rsid w:val="009E66E7"/>
    <w:rsid w:val="009F164B"/>
    <w:rsid w:val="009F323C"/>
    <w:rsid w:val="009F7F74"/>
    <w:rsid w:val="00A0354A"/>
    <w:rsid w:val="00A2403F"/>
    <w:rsid w:val="00A30ED6"/>
    <w:rsid w:val="00A3392B"/>
    <w:rsid w:val="00A37322"/>
    <w:rsid w:val="00A43E0E"/>
    <w:rsid w:val="00A53650"/>
    <w:rsid w:val="00A7795F"/>
    <w:rsid w:val="00A85E34"/>
    <w:rsid w:val="00A85F6E"/>
    <w:rsid w:val="00A92680"/>
    <w:rsid w:val="00A94B64"/>
    <w:rsid w:val="00AA3229"/>
    <w:rsid w:val="00AA6513"/>
    <w:rsid w:val="00AA7596"/>
    <w:rsid w:val="00AA7F82"/>
    <w:rsid w:val="00AB1DDD"/>
    <w:rsid w:val="00AB24CA"/>
    <w:rsid w:val="00AB5E52"/>
    <w:rsid w:val="00AC1527"/>
    <w:rsid w:val="00AC30D6"/>
    <w:rsid w:val="00AC3B02"/>
    <w:rsid w:val="00AC3B7B"/>
    <w:rsid w:val="00AC4CE2"/>
    <w:rsid w:val="00AC5209"/>
    <w:rsid w:val="00AD1DFB"/>
    <w:rsid w:val="00AD6862"/>
    <w:rsid w:val="00AE0E34"/>
    <w:rsid w:val="00AE280B"/>
    <w:rsid w:val="00AE729E"/>
    <w:rsid w:val="00AE7752"/>
    <w:rsid w:val="00AF35A8"/>
    <w:rsid w:val="00AF7771"/>
    <w:rsid w:val="00AF7FDA"/>
    <w:rsid w:val="00B0060E"/>
    <w:rsid w:val="00B03D3A"/>
    <w:rsid w:val="00B04AC4"/>
    <w:rsid w:val="00B05A3D"/>
    <w:rsid w:val="00B22323"/>
    <w:rsid w:val="00B271C7"/>
    <w:rsid w:val="00B31364"/>
    <w:rsid w:val="00B5012C"/>
    <w:rsid w:val="00B5356E"/>
    <w:rsid w:val="00B70D69"/>
    <w:rsid w:val="00B71DE8"/>
    <w:rsid w:val="00B75FFD"/>
    <w:rsid w:val="00B809AD"/>
    <w:rsid w:val="00B80CBD"/>
    <w:rsid w:val="00B86096"/>
    <w:rsid w:val="00B964D9"/>
    <w:rsid w:val="00BA0A7C"/>
    <w:rsid w:val="00BA2E6C"/>
    <w:rsid w:val="00BA517C"/>
    <w:rsid w:val="00BB07AF"/>
    <w:rsid w:val="00BB3D05"/>
    <w:rsid w:val="00BB4437"/>
    <w:rsid w:val="00BB6BD2"/>
    <w:rsid w:val="00BB73BE"/>
    <w:rsid w:val="00BC2D89"/>
    <w:rsid w:val="00BD6531"/>
    <w:rsid w:val="00BE05B2"/>
    <w:rsid w:val="00BE2640"/>
    <w:rsid w:val="00BF1908"/>
    <w:rsid w:val="00BF1ECB"/>
    <w:rsid w:val="00C21451"/>
    <w:rsid w:val="00C22D93"/>
    <w:rsid w:val="00C23458"/>
    <w:rsid w:val="00C25528"/>
    <w:rsid w:val="00C31120"/>
    <w:rsid w:val="00C31FAC"/>
    <w:rsid w:val="00C34482"/>
    <w:rsid w:val="00C35303"/>
    <w:rsid w:val="00C43648"/>
    <w:rsid w:val="00C50A9F"/>
    <w:rsid w:val="00C642FA"/>
    <w:rsid w:val="00C84F13"/>
    <w:rsid w:val="00C9439A"/>
    <w:rsid w:val="00CA4FA0"/>
    <w:rsid w:val="00CA6D20"/>
    <w:rsid w:val="00CA782D"/>
    <w:rsid w:val="00CC7622"/>
    <w:rsid w:val="00CD608F"/>
    <w:rsid w:val="00CE1B76"/>
    <w:rsid w:val="00CE4FEF"/>
    <w:rsid w:val="00CE600E"/>
    <w:rsid w:val="00CF19F9"/>
    <w:rsid w:val="00CF1D45"/>
    <w:rsid w:val="00CF6BB7"/>
    <w:rsid w:val="00D008F7"/>
    <w:rsid w:val="00D04AA4"/>
    <w:rsid w:val="00D11E99"/>
    <w:rsid w:val="00D176D9"/>
    <w:rsid w:val="00D27982"/>
    <w:rsid w:val="00D3373D"/>
    <w:rsid w:val="00D33B86"/>
    <w:rsid w:val="00D44968"/>
    <w:rsid w:val="00D44E61"/>
    <w:rsid w:val="00D504D4"/>
    <w:rsid w:val="00D53924"/>
    <w:rsid w:val="00D5489F"/>
    <w:rsid w:val="00D55D0C"/>
    <w:rsid w:val="00D55FE2"/>
    <w:rsid w:val="00D66699"/>
    <w:rsid w:val="00D77FD7"/>
    <w:rsid w:val="00D85946"/>
    <w:rsid w:val="00D96D8C"/>
    <w:rsid w:val="00DA6649"/>
    <w:rsid w:val="00DB407A"/>
    <w:rsid w:val="00DB7543"/>
    <w:rsid w:val="00DC1259"/>
    <w:rsid w:val="00DC1BD2"/>
    <w:rsid w:val="00DC2571"/>
    <w:rsid w:val="00DC3321"/>
    <w:rsid w:val="00DC487C"/>
    <w:rsid w:val="00DC6717"/>
    <w:rsid w:val="00DE1AA0"/>
    <w:rsid w:val="00DE1E7D"/>
    <w:rsid w:val="00DE6BF6"/>
    <w:rsid w:val="00E04E84"/>
    <w:rsid w:val="00E06AE2"/>
    <w:rsid w:val="00E1068A"/>
    <w:rsid w:val="00E25884"/>
    <w:rsid w:val="00E25B55"/>
    <w:rsid w:val="00E31C2B"/>
    <w:rsid w:val="00E37D79"/>
    <w:rsid w:val="00E5003D"/>
    <w:rsid w:val="00E5426A"/>
    <w:rsid w:val="00E54642"/>
    <w:rsid w:val="00E54CD9"/>
    <w:rsid w:val="00E579B8"/>
    <w:rsid w:val="00E630BF"/>
    <w:rsid w:val="00E71D5E"/>
    <w:rsid w:val="00E7576A"/>
    <w:rsid w:val="00E802A7"/>
    <w:rsid w:val="00E80CBE"/>
    <w:rsid w:val="00E914B4"/>
    <w:rsid w:val="00E962E3"/>
    <w:rsid w:val="00EB6C79"/>
    <w:rsid w:val="00EC37E9"/>
    <w:rsid w:val="00EC3BB8"/>
    <w:rsid w:val="00EC62D3"/>
    <w:rsid w:val="00EC71E5"/>
    <w:rsid w:val="00EC789E"/>
    <w:rsid w:val="00EE2417"/>
    <w:rsid w:val="00EE2C91"/>
    <w:rsid w:val="00EE4F5B"/>
    <w:rsid w:val="00EF649C"/>
    <w:rsid w:val="00F02C44"/>
    <w:rsid w:val="00F038D8"/>
    <w:rsid w:val="00F05A6F"/>
    <w:rsid w:val="00F06995"/>
    <w:rsid w:val="00F117B9"/>
    <w:rsid w:val="00F13623"/>
    <w:rsid w:val="00F20176"/>
    <w:rsid w:val="00F203AE"/>
    <w:rsid w:val="00F211C1"/>
    <w:rsid w:val="00F318C4"/>
    <w:rsid w:val="00F44D1D"/>
    <w:rsid w:val="00F46CCE"/>
    <w:rsid w:val="00F51608"/>
    <w:rsid w:val="00F75284"/>
    <w:rsid w:val="00F7732F"/>
    <w:rsid w:val="00F84B6D"/>
    <w:rsid w:val="00F85DC0"/>
    <w:rsid w:val="00F87FFB"/>
    <w:rsid w:val="00F93BDA"/>
    <w:rsid w:val="00F957E8"/>
    <w:rsid w:val="00FA28B3"/>
    <w:rsid w:val="00FA2F86"/>
    <w:rsid w:val="00FA311A"/>
    <w:rsid w:val="00FA5FDA"/>
    <w:rsid w:val="00FB2605"/>
    <w:rsid w:val="00FB6AB3"/>
    <w:rsid w:val="00FC4015"/>
    <w:rsid w:val="00FC5AC3"/>
    <w:rsid w:val="00FD1419"/>
    <w:rsid w:val="00FD15C4"/>
    <w:rsid w:val="00FD79E4"/>
    <w:rsid w:val="00FE2818"/>
    <w:rsid w:val="00FE2894"/>
    <w:rsid w:val="00FF5C0B"/>
    <w:rsid w:val="00FF6AB1"/>
    <w:rsid w:val="00FF6C6D"/>
    <w:rsid w:val="00FF786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3230C7"/>
    <w:rPr>
      <w:color w:val="808080"/>
    </w:rPr>
  </w:style>
  <w:style w:type="character" w:styleId="Hyperlink">
    <w:name w:val="Hyperlink"/>
    <w:basedOn w:val="a0"/>
    <w:uiPriority w:val="99"/>
    <w:rsid w:val="002A0EC3"/>
    <w:rPr>
      <w:color w:val="0000FF"/>
      <w:u w:val="single"/>
    </w:rPr>
  </w:style>
  <w:style w:type="paragraph" w:styleId="3">
    <w:name w:val="Body Text Indent 3"/>
    <w:basedOn w:val="a"/>
    <w:link w:val="30"/>
    <w:uiPriority w:val="99"/>
    <w:rsid w:val="002A0EC3"/>
    <w:pPr>
      <w:spacing w:line="360" w:lineRule="auto"/>
      <w:ind w:left="390"/>
      <w:jc w:val="both"/>
    </w:pPr>
    <w:rPr>
      <w:noProof w:val="0"/>
      <w:szCs w:val="28"/>
      <w:lang w:eastAsia="he-IL"/>
    </w:rPr>
  </w:style>
  <w:style w:type="character" w:customStyle="1" w:styleId="30">
    <w:name w:val="כניסה בגוף טקסט 3 תו"/>
    <w:basedOn w:val="a0"/>
    <w:link w:val="3"/>
    <w:uiPriority w:val="99"/>
    <w:rsid w:val="002A0EC3"/>
    <w:rPr>
      <w:rFonts w:cs="David"/>
      <w:sz w:val="24"/>
      <w:szCs w:val="28"/>
      <w:lang w:eastAsia="he-IL"/>
    </w:rPr>
  </w:style>
  <w:style w:type="character" w:styleId="FollowedHyperlink">
    <w:name w:val="FollowedHyperlink"/>
    <w:basedOn w:val="a0"/>
    <w:semiHidden/>
    <w:unhideWhenUsed/>
    <w:rsid w:val="00D55FE2"/>
    <w:rPr>
      <w:color w:val="800080" w:themeColor="followedHyperlink"/>
      <w:u w:val="single"/>
    </w:rPr>
  </w:style>
  <w:style w:type="character" w:customStyle="1" w:styleId="a4">
    <w:name w:val="כותרת עליונה תו"/>
    <w:basedOn w:val="a0"/>
    <w:link w:val="a3"/>
    <w:rsid w:val="00BF1ECB"/>
    <w:rPr>
      <w:rFonts w:cs="David"/>
      <w:noProof/>
      <w:sz w:val="24"/>
      <w:szCs w:val="24"/>
    </w:rPr>
  </w:style>
  <w:style w:type="paragraph" w:styleId="ae">
    <w:name w:val="List Paragraph"/>
    <w:basedOn w:val="a"/>
    <w:uiPriority w:val="34"/>
    <w:qFormat/>
    <w:rsid w:val="00BF1E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77014">
      <w:bodyDiv w:val="1"/>
      <w:marLeft w:val="0"/>
      <w:marRight w:val="0"/>
      <w:marTop w:val="0"/>
      <w:marBottom w:val="0"/>
      <w:divBdr>
        <w:top w:val="none" w:sz="0" w:space="0" w:color="auto"/>
        <w:left w:val="none" w:sz="0" w:space="0" w:color="auto"/>
        <w:bottom w:val="none" w:sz="0" w:space="0" w:color="auto"/>
        <w:right w:val="none" w:sz="0" w:space="0" w:color="auto"/>
      </w:divBdr>
    </w:div>
    <w:div w:id="57674060">
      <w:bodyDiv w:val="1"/>
      <w:marLeft w:val="0"/>
      <w:marRight w:val="0"/>
      <w:marTop w:val="0"/>
      <w:marBottom w:val="0"/>
      <w:divBdr>
        <w:top w:val="none" w:sz="0" w:space="0" w:color="auto"/>
        <w:left w:val="none" w:sz="0" w:space="0" w:color="auto"/>
        <w:bottom w:val="none" w:sz="0" w:space="0" w:color="auto"/>
        <w:right w:val="none" w:sz="0" w:space="0" w:color="auto"/>
      </w:divBdr>
    </w:div>
    <w:div w:id="86000088">
      <w:bodyDiv w:val="1"/>
      <w:marLeft w:val="0"/>
      <w:marRight w:val="0"/>
      <w:marTop w:val="0"/>
      <w:marBottom w:val="0"/>
      <w:divBdr>
        <w:top w:val="none" w:sz="0" w:space="0" w:color="auto"/>
        <w:left w:val="none" w:sz="0" w:space="0" w:color="auto"/>
        <w:bottom w:val="none" w:sz="0" w:space="0" w:color="auto"/>
        <w:right w:val="none" w:sz="0" w:space="0" w:color="auto"/>
      </w:divBdr>
    </w:div>
    <w:div w:id="191848658">
      <w:bodyDiv w:val="1"/>
      <w:marLeft w:val="0"/>
      <w:marRight w:val="0"/>
      <w:marTop w:val="0"/>
      <w:marBottom w:val="0"/>
      <w:divBdr>
        <w:top w:val="none" w:sz="0" w:space="0" w:color="auto"/>
        <w:left w:val="none" w:sz="0" w:space="0" w:color="auto"/>
        <w:bottom w:val="none" w:sz="0" w:space="0" w:color="auto"/>
        <w:right w:val="none" w:sz="0" w:space="0" w:color="auto"/>
      </w:divBdr>
    </w:div>
    <w:div w:id="198782084">
      <w:bodyDiv w:val="1"/>
      <w:marLeft w:val="0"/>
      <w:marRight w:val="0"/>
      <w:marTop w:val="0"/>
      <w:marBottom w:val="0"/>
      <w:divBdr>
        <w:top w:val="none" w:sz="0" w:space="0" w:color="auto"/>
        <w:left w:val="none" w:sz="0" w:space="0" w:color="auto"/>
        <w:bottom w:val="none" w:sz="0" w:space="0" w:color="auto"/>
        <w:right w:val="none" w:sz="0" w:space="0" w:color="auto"/>
      </w:divBdr>
    </w:div>
    <w:div w:id="686642061">
      <w:bodyDiv w:val="1"/>
      <w:marLeft w:val="0"/>
      <w:marRight w:val="0"/>
      <w:marTop w:val="0"/>
      <w:marBottom w:val="0"/>
      <w:divBdr>
        <w:top w:val="none" w:sz="0" w:space="0" w:color="auto"/>
        <w:left w:val="none" w:sz="0" w:space="0" w:color="auto"/>
        <w:bottom w:val="none" w:sz="0" w:space="0" w:color="auto"/>
        <w:right w:val="none" w:sz="0" w:space="0" w:color="auto"/>
      </w:divBdr>
    </w:div>
    <w:div w:id="689331764">
      <w:bodyDiv w:val="1"/>
      <w:marLeft w:val="0"/>
      <w:marRight w:val="0"/>
      <w:marTop w:val="0"/>
      <w:marBottom w:val="0"/>
      <w:divBdr>
        <w:top w:val="none" w:sz="0" w:space="0" w:color="auto"/>
        <w:left w:val="none" w:sz="0" w:space="0" w:color="auto"/>
        <w:bottom w:val="none" w:sz="0" w:space="0" w:color="auto"/>
        <w:right w:val="none" w:sz="0" w:space="0" w:color="auto"/>
      </w:divBdr>
    </w:div>
    <w:div w:id="712772342">
      <w:bodyDiv w:val="1"/>
      <w:marLeft w:val="0"/>
      <w:marRight w:val="0"/>
      <w:marTop w:val="0"/>
      <w:marBottom w:val="0"/>
      <w:divBdr>
        <w:top w:val="none" w:sz="0" w:space="0" w:color="auto"/>
        <w:left w:val="none" w:sz="0" w:space="0" w:color="auto"/>
        <w:bottom w:val="none" w:sz="0" w:space="0" w:color="auto"/>
        <w:right w:val="none" w:sz="0" w:space="0" w:color="auto"/>
      </w:divBdr>
    </w:div>
    <w:div w:id="767046515">
      <w:bodyDiv w:val="1"/>
      <w:marLeft w:val="0"/>
      <w:marRight w:val="0"/>
      <w:marTop w:val="0"/>
      <w:marBottom w:val="0"/>
      <w:divBdr>
        <w:top w:val="none" w:sz="0" w:space="0" w:color="auto"/>
        <w:left w:val="none" w:sz="0" w:space="0" w:color="auto"/>
        <w:bottom w:val="none" w:sz="0" w:space="0" w:color="auto"/>
        <w:right w:val="none" w:sz="0" w:space="0" w:color="auto"/>
      </w:divBdr>
    </w:div>
    <w:div w:id="992098772">
      <w:bodyDiv w:val="1"/>
      <w:marLeft w:val="0"/>
      <w:marRight w:val="0"/>
      <w:marTop w:val="0"/>
      <w:marBottom w:val="0"/>
      <w:divBdr>
        <w:top w:val="none" w:sz="0" w:space="0" w:color="auto"/>
        <w:left w:val="none" w:sz="0" w:space="0" w:color="auto"/>
        <w:bottom w:val="none" w:sz="0" w:space="0" w:color="auto"/>
        <w:right w:val="none" w:sz="0" w:space="0" w:color="auto"/>
      </w:divBdr>
    </w:div>
    <w:div w:id="1018233430">
      <w:bodyDiv w:val="1"/>
      <w:marLeft w:val="0"/>
      <w:marRight w:val="0"/>
      <w:marTop w:val="0"/>
      <w:marBottom w:val="0"/>
      <w:divBdr>
        <w:top w:val="none" w:sz="0" w:space="0" w:color="auto"/>
        <w:left w:val="none" w:sz="0" w:space="0" w:color="auto"/>
        <w:bottom w:val="none" w:sz="0" w:space="0" w:color="auto"/>
        <w:right w:val="none" w:sz="0" w:space="0" w:color="auto"/>
      </w:divBdr>
    </w:div>
    <w:div w:id="109971423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55882372">
      <w:bodyDiv w:val="1"/>
      <w:marLeft w:val="0"/>
      <w:marRight w:val="0"/>
      <w:marTop w:val="0"/>
      <w:marBottom w:val="0"/>
      <w:divBdr>
        <w:top w:val="none" w:sz="0" w:space="0" w:color="auto"/>
        <w:left w:val="none" w:sz="0" w:space="0" w:color="auto"/>
        <w:bottom w:val="none" w:sz="0" w:space="0" w:color="auto"/>
        <w:right w:val="none" w:sz="0" w:space="0" w:color="auto"/>
      </w:divBdr>
    </w:div>
    <w:div w:id="1368217061">
      <w:bodyDiv w:val="1"/>
      <w:marLeft w:val="0"/>
      <w:marRight w:val="0"/>
      <w:marTop w:val="0"/>
      <w:marBottom w:val="0"/>
      <w:divBdr>
        <w:top w:val="none" w:sz="0" w:space="0" w:color="auto"/>
        <w:left w:val="none" w:sz="0" w:space="0" w:color="auto"/>
        <w:bottom w:val="none" w:sz="0" w:space="0" w:color="auto"/>
        <w:right w:val="none" w:sz="0" w:space="0" w:color="auto"/>
      </w:divBdr>
    </w:div>
    <w:div w:id="1390230613">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0026001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81338439">
      <w:bodyDiv w:val="1"/>
      <w:marLeft w:val="0"/>
      <w:marRight w:val="0"/>
      <w:marTop w:val="0"/>
      <w:marBottom w:val="0"/>
      <w:divBdr>
        <w:top w:val="none" w:sz="0" w:space="0" w:color="auto"/>
        <w:left w:val="none" w:sz="0" w:space="0" w:color="auto"/>
        <w:bottom w:val="none" w:sz="0" w:space="0" w:color="auto"/>
        <w:right w:val="none" w:sz="0" w:space="0" w:color="auto"/>
      </w:divBdr>
    </w:div>
    <w:div w:id="2009020323">
      <w:bodyDiv w:val="1"/>
      <w:marLeft w:val="0"/>
      <w:marRight w:val="0"/>
      <w:marTop w:val="0"/>
      <w:marBottom w:val="0"/>
      <w:divBdr>
        <w:top w:val="none" w:sz="0" w:space="0" w:color="auto"/>
        <w:left w:val="none" w:sz="0" w:space="0" w:color="auto"/>
        <w:bottom w:val="none" w:sz="0" w:space="0" w:color="auto"/>
        <w:right w:val="none" w:sz="0" w:space="0" w:color="auto"/>
      </w:divBdr>
    </w:div>
    <w:div w:id="2073963649">
      <w:bodyDiv w:val="1"/>
      <w:marLeft w:val="0"/>
      <w:marRight w:val="0"/>
      <w:marTop w:val="0"/>
      <w:marBottom w:val="0"/>
      <w:divBdr>
        <w:top w:val="none" w:sz="0" w:space="0" w:color="auto"/>
        <w:left w:val="none" w:sz="0" w:space="0" w:color="auto"/>
        <w:bottom w:val="none" w:sz="0" w:space="0" w:color="auto"/>
        <w:right w:val="none" w:sz="0" w:space="0" w:color="auto"/>
      </w:divBdr>
    </w:div>
    <w:div w:id="2114786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024E4" w:rsidP="006024E4">
          <w:pPr>
            <w:pStyle w:val="E460D38E05664FF79D4EFF282EF8EC992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42EF1"/>
    <w:rsid w:val="002D02C4"/>
    <w:rsid w:val="00345C9D"/>
    <w:rsid w:val="00405FEA"/>
    <w:rsid w:val="004745AE"/>
    <w:rsid w:val="0048651F"/>
    <w:rsid w:val="005157ED"/>
    <w:rsid w:val="00556D67"/>
    <w:rsid w:val="006024E4"/>
    <w:rsid w:val="00731393"/>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1071A"/>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6024E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1364</Words>
  <Characters>6821</Characters>
  <Application>Microsoft Office Word</Application>
  <DocSecurity>0</DocSecurity>
  <Lines>56</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2023-05-29T07:57:00Z</dcterms:created>
  <dcterms:modified xsi:type="dcterms:W3CDTF">2023-05-29T07:57:00Z</dcterms:modified>
</cp:coreProperties>
</file>